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24E3" w14:textId="143C0652" w:rsidR="006D5A40" w:rsidRDefault="0073797A">
      <w:pPr>
        <w:pStyle w:val="Nagwek1"/>
      </w:pPr>
      <w:r>
        <w:t>Dynamic Quantum Crystallography: Principles, Latest Developments, and Applications</w:t>
      </w:r>
      <w:r w:rsidR="00F64952">
        <w:t xml:space="preserve"> </w:t>
      </w:r>
    </w:p>
    <w:p w14:paraId="2078CA5F" w14:textId="74B9CF34" w:rsidR="006D5A40" w:rsidRDefault="0073797A">
      <w:pPr>
        <w:pStyle w:val="Nagwek2"/>
      </w:pPr>
      <w:r>
        <w:t>A</w:t>
      </w:r>
      <w:r w:rsidR="00F64952">
        <w:t xml:space="preserve">. </w:t>
      </w:r>
      <w:r>
        <w:t>Hoser</w:t>
      </w:r>
      <w:r w:rsidR="00F64952">
        <w:rPr>
          <w:vertAlign w:val="superscript"/>
        </w:rPr>
        <w:t>1</w:t>
      </w:r>
      <w:r w:rsidR="00F64952">
        <w:t xml:space="preserve">, </w:t>
      </w:r>
      <w:r>
        <w:t>H</w:t>
      </w:r>
      <w:r w:rsidR="00F64952">
        <w:t xml:space="preserve">. </w:t>
      </w:r>
      <w:r>
        <w:t>Butkiewicz</w:t>
      </w:r>
      <w:r w:rsidR="00F64952">
        <w:rPr>
          <w:vertAlign w:val="superscript"/>
        </w:rPr>
        <w:t>1</w:t>
      </w:r>
      <w:r w:rsidR="00F64952">
        <w:t xml:space="preserve">, </w:t>
      </w:r>
      <w:r>
        <w:t>A</w:t>
      </w:r>
      <w:r w:rsidR="00F64952">
        <w:t>.</w:t>
      </w:r>
      <w:r>
        <w:t xml:space="preserve"> Ø.</w:t>
      </w:r>
      <w:r w:rsidR="00F64952">
        <w:t xml:space="preserve"> </w:t>
      </w:r>
      <w:r>
        <w:t>Madsen</w:t>
      </w:r>
      <w:r w:rsidR="00F64952">
        <w:rPr>
          <w:vertAlign w:val="superscript"/>
        </w:rPr>
        <w:t>2</w:t>
      </w:r>
    </w:p>
    <w:p w14:paraId="08CB9B88" w14:textId="77777777" w:rsidR="00333032" w:rsidRDefault="00F64952">
      <w:pPr>
        <w:pStyle w:val="Nagwek3"/>
      </w:pPr>
      <w:r>
        <w:rPr>
          <w:vertAlign w:val="superscript"/>
        </w:rPr>
        <w:t>1</w:t>
      </w:r>
      <w:r w:rsidR="0073797A" w:rsidRPr="00C65D34">
        <w:t>Faculty of Chemistry, University of Warsaw, Pasteura 1, 02-093 Warsaw, Poland</w:t>
      </w:r>
      <w:r>
        <w:t>,</w:t>
      </w:r>
    </w:p>
    <w:p w14:paraId="54F850F0" w14:textId="0341A7B6" w:rsidR="006D5A40" w:rsidRDefault="00F64952">
      <w:pPr>
        <w:pStyle w:val="Nagwek3"/>
      </w:pPr>
      <w:r>
        <w:t xml:space="preserve"> </w:t>
      </w:r>
      <w:r>
        <w:rPr>
          <w:vertAlign w:val="superscript"/>
        </w:rPr>
        <w:t>2</w:t>
      </w:r>
      <w:r w:rsidR="0073797A" w:rsidRPr="00C65D34">
        <w:t>Department of Pharmacy, University of Copenhagen, Universitetsparken 2, Copenhagen, Denmark</w:t>
      </w:r>
    </w:p>
    <w:p w14:paraId="5545EA64" w14:textId="74EE1836" w:rsidR="006D5A40" w:rsidRDefault="0073797A">
      <w:pPr>
        <w:pStyle w:val="Nagwek3"/>
        <w:rPr>
          <w:sz w:val="18"/>
          <w:szCs w:val="18"/>
        </w:rPr>
      </w:pPr>
      <w:r>
        <w:t>a.hoser@uw.edu.pl</w:t>
      </w:r>
      <w:r w:rsidR="00F64952">
        <w:rPr>
          <w:lang w:eastAsia="de-DE"/>
        </w:rPr>
        <w:br/>
      </w:r>
    </w:p>
    <w:p w14:paraId="291B674F" w14:textId="1AF781E6" w:rsidR="00FF2D0B" w:rsidRPr="00FF2D0B" w:rsidRDefault="00333032" w:rsidP="00FF2D0B">
      <w:r>
        <w:t>T</w:t>
      </w:r>
      <w:r w:rsidRPr="00C65D34">
        <w:t xml:space="preserve">he intensity of the diffracted beam depends on both electron density and thermal motion. </w:t>
      </w:r>
      <w:r w:rsidR="00FF2D0B" w:rsidRPr="00FF2D0B">
        <w:t>While significant progress has been made in electron density model</w:t>
      </w:r>
      <w:r w:rsidR="00194BA8">
        <w:t>l</w:t>
      </w:r>
      <w:r w:rsidR="00FF2D0B" w:rsidRPr="00FF2D0B">
        <w:t xml:space="preserve">ing (e.g., the Hansen–Coppens multipole model [1], Hirshfeld Atom Refinement (HAR) [2]), the description of thermal motion </w:t>
      </w:r>
      <w:r w:rsidR="00194BA8">
        <w:t xml:space="preserve">in crystallography </w:t>
      </w:r>
      <w:r w:rsidR="00FF2D0B" w:rsidRPr="00FF2D0B">
        <w:t>still requires improvement. Anisotropic displacement parameters (ADPs) often do not receive the attention they deserve and are frequently treated as a catch-all for experimental errors—with only a few notable exceptions. ADPs can  serve as a valuable source of information about the thermodynamic properties of a given system.</w:t>
      </w:r>
      <w:r w:rsidR="003C356A">
        <w:t xml:space="preserve"> </w:t>
      </w:r>
    </w:p>
    <w:p w14:paraId="6EBDE2B3" w14:textId="11FA5204" w:rsidR="00FF2D0B" w:rsidRDefault="00FF2D0B" w:rsidP="00FF2D0B">
      <w:r>
        <w:t>Normal mode refinement (NoMoRe) allows the refinement of vibrational frequencies from DFT calculations against single-crystal X-ray diffraction data</w:t>
      </w:r>
      <w:r w:rsidR="00333032">
        <w:t xml:space="preserve"> [3]</w:t>
      </w:r>
      <w:r>
        <w:t>. A specific set of scaling factors for normal mode frequencies is refined through the calculation of Debye–Waller factors. This method relies on a direct correlation between the lattice-dynamical model—comprising normal mode vectors and frequencies—and atomic mean-square displacement matrices. The refined frequencies can subsequently be used to estimate thermodynamic properties, such as vibrational contributions to the free energy and heat capacity.</w:t>
      </w:r>
      <w:r w:rsidR="00194BA8">
        <w:t xml:space="preserve"> </w:t>
      </w:r>
      <w:r>
        <w:t>Our previous results demonstrated that heat capacities for various compounds (e.g., naphthalene, alanine, and polymorphs of glycine</w:t>
      </w:r>
      <w:r w:rsidR="00333032">
        <w:t xml:space="preserve"> [4, 5]</w:t>
      </w:r>
      <w:r>
        <w:t>) can be estimated with very good agreement compared to calorimetric data.</w:t>
      </w:r>
    </w:p>
    <w:p w14:paraId="640CDBB5" w14:textId="01CDD4DC" w:rsidR="0073797A" w:rsidRDefault="0073797A" w:rsidP="00FF2D0B">
      <w:r w:rsidRPr="00C65D34">
        <w:t xml:space="preserve">In this contribution, </w:t>
      </w:r>
      <w:r w:rsidR="00BF4E98">
        <w:t>I</w:t>
      </w:r>
      <w:r w:rsidRPr="00C65D34">
        <w:t xml:space="preserve"> will present the normal mode refinement (NoMoRe) approach, discussing its current developments, applications, (including predictions of heat capacity and estimation of polymorphs' free energ</w:t>
      </w:r>
      <w:r w:rsidR="00333032">
        <w:t>ies</w:t>
      </w:r>
      <w:r w:rsidRPr="00C65D34">
        <w:t>)</w:t>
      </w:r>
      <w:r w:rsidR="00194BA8">
        <w:t>.</w:t>
      </w:r>
      <w:r w:rsidR="00BF4E98">
        <w:t xml:space="preserve"> I </w:t>
      </w:r>
      <w:r w:rsidRPr="00C65D34">
        <w:t xml:space="preserve">will present newest version of NoMoRe (which gives opportunity to </w:t>
      </w:r>
      <w:r w:rsidR="00194BA8">
        <w:t>model</w:t>
      </w:r>
      <w:r w:rsidRPr="00C65D34">
        <w:t xml:space="preserve"> de</w:t>
      </w:r>
      <w:r w:rsidR="00BF4E98">
        <w:t>ns</w:t>
      </w:r>
      <w:r w:rsidRPr="00C65D34">
        <w:t>ity with aspherical atom model – TAAM or HAR)</w:t>
      </w:r>
      <w:r w:rsidR="00333032">
        <w:t>[6]</w:t>
      </w:r>
      <w:r w:rsidRPr="00C65D34">
        <w:t xml:space="preserve"> and a </w:t>
      </w:r>
      <w:r w:rsidR="00333032">
        <w:t>latest</w:t>
      </w:r>
      <w:r w:rsidRPr="00C65D34">
        <w:t xml:space="preserve"> version of </w:t>
      </w:r>
      <w:r>
        <w:t>n</w:t>
      </w:r>
      <w:r w:rsidRPr="00C65D34">
        <w:t xml:space="preserve">omore.chem.uw.edu.pl server. </w:t>
      </w:r>
      <w:r w:rsidR="00BF4E98">
        <w:t xml:space="preserve">Additionally, </w:t>
      </w:r>
      <w:r w:rsidR="003C356A">
        <w:t xml:space="preserve">as in NoMoRe we are refining much less parameters than in routine refinement, I will present </w:t>
      </w:r>
      <w:r w:rsidR="00BF4E98">
        <w:t>newest applications</w:t>
      </w:r>
      <w:r w:rsidR="0013704B">
        <w:t xml:space="preserve"> of NoMoRe</w:t>
      </w:r>
      <w:r w:rsidR="00BF4E98">
        <w:t xml:space="preserve"> to high pressure single crystal </w:t>
      </w:r>
      <w:r w:rsidR="00194BA8">
        <w:t>data</w:t>
      </w:r>
      <w:r w:rsidR="003C356A">
        <w:t>.</w:t>
      </w:r>
      <w:r w:rsidR="00194BA8">
        <w:t xml:space="preserve"> </w:t>
      </w:r>
      <w:r w:rsidR="00BF4E98">
        <w:t xml:space="preserve"> </w:t>
      </w:r>
    </w:p>
    <w:p w14:paraId="506BA0C9" w14:textId="7D88562D" w:rsidR="001D09CF" w:rsidRDefault="006B5513" w:rsidP="006B5513">
      <w:pPr>
        <w:jc w:val="center"/>
      </w:pPr>
      <w:r>
        <w:rPr>
          <w:noProof/>
        </w:rPr>
        <w:drawing>
          <wp:inline distT="0" distB="0" distL="0" distR="0" wp14:anchorId="56570048" wp14:editId="4401362E">
            <wp:extent cx="5086350" cy="2209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9311B" w14:textId="5505B296" w:rsidR="006D5A40" w:rsidRDefault="006B5513" w:rsidP="006B55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85BC8B" wp14:editId="44E66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63FC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F64952">
        <w:rPr>
          <w:b/>
        </w:rPr>
        <w:t>Figure 1</w:t>
      </w:r>
      <w:r w:rsidR="00F64952">
        <w:t xml:space="preserve">. </w:t>
      </w:r>
      <w:r>
        <w:t>Schematic workflow for thermodynamic properties estimation.</w:t>
      </w:r>
    </w:p>
    <w:p w14:paraId="2D46785C" w14:textId="77777777" w:rsidR="006B5513" w:rsidRDefault="006B5513" w:rsidP="006B5513">
      <w:pPr>
        <w:jc w:val="center"/>
      </w:pPr>
    </w:p>
    <w:p w14:paraId="685D1E96" w14:textId="41E3656E" w:rsidR="00BF4E98" w:rsidRDefault="00F64952">
      <w:pPr>
        <w:pStyle w:val="Nagwek4"/>
      </w:pPr>
      <w:r>
        <w:t>[</w:t>
      </w:r>
      <w:r>
        <w:t>1]</w:t>
      </w:r>
      <w:r w:rsidR="00BF4E98">
        <w:t xml:space="preserve"> </w:t>
      </w:r>
      <w:r w:rsidR="00BF4E98" w:rsidRPr="00BF4E98">
        <w:t>Hansen</w:t>
      </w:r>
      <w:r w:rsidR="00BF4E98">
        <w:t xml:space="preserve"> N. K., </w:t>
      </w:r>
      <w:r w:rsidR="00BF4E98" w:rsidRPr="00BF4E98">
        <w:t>Coppens</w:t>
      </w:r>
      <w:r w:rsidR="00BF4E98">
        <w:t xml:space="preserve"> P.</w:t>
      </w:r>
      <w:r w:rsidR="00BF4E98" w:rsidRPr="00BF4E98">
        <w:t xml:space="preserve">, </w:t>
      </w:r>
      <w:r w:rsidR="00BF4E98">
        <w:t xml:space="preserve">(1978) </w:t>
      </w:r>
      <w:r w:rsidR="00BF4E98" w:rsidRPr="00BF4E98">
        <w:rPr>
          <w:i/>
          <w:iCs/>
        </w:rPr>
        <w:t>Acta Crystallographica Section A,</w:t>
      </w:r>
      <w:r w:rsidR="00BF4E98" w:rsidRPr="00BF4E98">
        <w:t xml:space="preserve"> </w:t>
      </w:r>
      <w:r w:rsidR="00BF4E98" w:rsidRPr="00BF4E98">
        <w:rPr>
          <w:b/>
          <w:bCs w:val="0"/>
        </w:rPr>
        <w:t>34,</w:t>
      </w:r>
      <w:r w:rsidR="00BF4E98" w:rsidRPr="00BF4E98">
        <w:t xml:space="preserve"> 909-921. </w:t>
      </w:r>
    </w:p>
    <w:p w14:paraId="74973BC3" w14:textId="44131D9B" w:rsidR="00BF4E98" w:rsidRDefault="00BF4E98">
      <w:pPr>
        <w:pStyle w:val="Nagwek4"/>
      </w:pPr>
      <w:r>
        <w:t>[</w:t>
      </w:r>
      <w:r w:rsidRPr="00BF4E98">
        <w:t>2</w:t>
      </w:r>
      <w:r>
        <w:t>]</w:t>
      </w:r>
      <w:r w:rsidRPr="00BF4E98">
        <w:t xml:space="preserve"> Capelli</w:t>
      </w:r>
      <w:r>
        <w:t xml:space="preserve"> S. C.</w:t>
      </w:r>
      <w:r w:rsidRPr="00BF4E98">
        <w:t>, Burgi,</w:t>
      </w:r>
      <w:r>
        <w:t xml:space="preserve"> H-B.,</w:t>
      </w:r>
      <w:r w:rsidRPr="00BF4E98">
        <w:t xml:space="preserve"> Dittrich</w:t>
      </w:r>
      <w:r>
        <w:t xml:space="preserve"> B.</w:t>
      </w:r>
      <w:r w:rsidRPr="00BF4E98">
        <w:t xml:space="preserve">, Grabowsky </w:t>
      </w:r>
      <w:r>
        <w:t>S.,</w:t>
      </w:r>
      <w:r w:rsidRPr="00BF4E98">
        <w:t xml:space="preserve"> Jayatilaka</w:t>
      </w:r>
      <w:r>
        <w:t xml:space="preserve"> D.</w:t>
      </w:r>
      <w:r w:rsidRPr="00BF4E98">
        <w:t>,</w:t>
      </w:r>
      <w:r>
        <w:t xml:space="preserve"> (2014)</w:t>
      </w:r>
      <w:r w:rsidRPr="00BF4E98">
        <w:t xml:space="preserve"> IUCrJ, 1, 361-379.</w:t>
      </w:r>
    </w:p>
    <w:p w14:paraId="3B8CE91A" w14:textId="68CF278A" w:rsidR="00714659" w:rsidRDefault="00BF4E98">
      <w:pPr>
        <w:pStyle w:val="Nagwek4"/>
      </w:pPr>
      <w:r>
        <w:t xml:space="preserve">[3] </w:t>
      </w:r>
      <w:r w:rsidR="00714659" w:rsidRPr="00714659">
        <w:t>Hoser</w:t>
      </w:r>
      <w:r w:rsidR="00714659">
        <w:t xml:space="preserve"> A. A.,</w:t>
      </w:r>
      <w:r w:rsidR="00714659" w:rsidRPr="00714659">
        <w:t xml:space="preserve"> Madsen</w:t>
      </w:r>
      <w:r w:rsidR="00714659">
        <w:t xml:space="preserve"> </w:t>
      </w:r>
      <w:r w:rsidR="00714659" w:rsidRPr="00714659">
        <w:t>A. Ø.</w:t>
      </w:r>
      <w:r w:rsidR="00714659">
        <w:t xml:space="preserve"> (2016)</w:t>
      </w:r>
      <w:r w:rsidR="00714659" w:rsidRPr="00714659">
        <w:t xml:space="preserve"> </w:t>
      </w:r>
      <w:r w:rsidR="00714659" w:rsidRPr="00714659">
        <w:rPr>
          <w:i/>
          <w:iCs/>
        </w:rPr>
        <w:t>Acta Crystallographica Section A,</w:t>
      </w:r>
      <w:r w:rsidR="00714659" w:rsidRPr="00714659">
        <w:t xml:space="preserve"> </w:t>
      </w:r>
      <w:r w:rsidR="00714659" w:rsidRPr="00714659">
        <w:rPr>
          <w:b/>
          <w:bCs w:val="0"/>
        </w:rPr>
        <w:t>72</w:t>
      </w:r>
      <w:r w:rsidR="00714659" w:rsidRPr="00714659">
        <w:t>, 206-214.</w:t>
      </w:r>
    </w:p>
    <w:p w14:paraId="7B775122" w14:textId="46FFA7EB" w:rsidR="006D5A40" w:rsidRDefault="00F64952">
      <w:pPr>
        <w:pStyle w:val="Nagwek4"/>
      </w:pPr>
      <w:r>
        <w:t>[</w:t>
      </w:r>
      <w:r w:rsidR="00BF4E98">
        <w:t>4</w:t>
      </w:r>
      <w:r>
        <w:t xml:space="preserve">] </w:t>
      </w:r>
      <w:r w:rsidR="00714659" w:rsidRPr="00714659">
        <w:t>Hoser</w:t>
      </w:r>
      <w:r w:rsidR="00714659">
        <w:t xml:space="preserve"> A. A.,</w:t>
      </w:r>
      <w:r w:rsidR="00714659" w:rsidRPr="00714659">
        <w:t xml:space="preserve"> Madsen</w:t>
      </w:r>
      <w:r w:rsidR="00714659">
        <w:t xml:space="preserve"> </w:t>
      </w:r>
      <w:r w:rsidR="00714659" w:rsidRPr="00714659">
        <w:t>A. Ø</w:t>
      </w:r>
      <w:r w:rsidR="00714659">
        <w:t xml:space="preserve"> (2017) </w:t>
      </w:r>
      <w:r w:rsidR="00714659" w:rsidRPr="00714659">
        <w:rPr>
          <w:i/>
          <w:iCs/>
        </w:rPr>
        <w:t>Acta Crystallographica Section A,</w:t>
      </w:r>
      <w:r w:rsidR="00714659" w:rsidRPr="00714659">
        <w:t xml:space="preserve"> </w:t>
      </w:r>
      <w:r w:rsidR="00714659" w:rsidRPr="00714659">
        <w:rPr>
          <w:b/>
          <w:bCs w:val="0"/>
        </w:rPr>
        <w:t>73</w:t>
      </w:r>
      <w:r w:rsidR="00714659" w:rsidRPr="00714659">
        <w:t xml:space="preserve">, 102-114. </w:t>
      </w:r>
    </w:p>
    <w:p w14:paraId="038B1C36" w14:textId="3397BAFB" w:rsidR="00714659" w:rsidRPr="00714659" w:rsidRDefault="00F64952">
      <w:pPr>
        <w:pStyle w:val="Nagwek4"/>
      </w:pPr>
      <w:r w:rsidRPr="00714659">
        <w:t>[</w:t>
      </w:r>
      <w:r w:rsidR="00BF4E98">
        <w:t>5</w:t>
      </w:r>
      <w:r w:rsidRPr="00714659">
        <w:t xml:space="preserve">] </w:t>
      </w:r>
      <w:r w:rsidR="00714659" w:rsidRPr="00714659">
        <w:t xml:space="preserve">Hoser A. A., </w:t>
      </w:r>
      <w:r w:rsidR="00714659" w:rsidRPr="00714659">
        <w:t xml:space="preserve">Sztylko M., Trzybiński D., </w:t>
      </w:r>
      <w:r w:rsidR="00714659" w:rsidRPr="00714659">
        <w:t xml:space="preserve">Madsen A. Ø </w:t>
      </w:r>
      <w:r w:rsidR="00714659" w:rsidRPr="00714659">
        <w:t xml:space="preserve">(2021) </w:t>
      </w:r>
      <w:r w:rsidR="00714659" w:rsidRPr="00714659">
        <w:rPr>
          <w:i/>
          <w:iCs/>
        </w:rPr>
        <w:t>Chemical Communications</w:t>
      </w:r>
      <w:r w:rsidR="00714659" w:rsidRPr="00714659">
        <w:t xml:space="preserve">, </w:t>
      </w:r>
      <w:r w:rsidR="00714659" w:rsidRPr="00714659">
        <w:rPr>
          <w:b/>
          <w:bCs w:val="0"/>
        </w:rPr>
        <w:t>57</w:t>
      </w:r>
      <w:r w:rsidR="00714659" w:rsidRPr="00714659">
        <w:t>, 9370- 9373.</w:t>
      </w:r>
    </w:p>
    <w:p w14:paraId="13D50BF6" w14:textId="44DC4FBC" w:rsidR="006D5A40" w:rsidRPr="00BF4E98" w:rsidRDefault="00F64952">
      <w:pPr>
        <w:pStyle w:val="Nagwek4"/>
        <w:rPr>
          <w:lang w:val="pl-PL"/>
        </w:rPr>
      </w:pPr>
      <w:r w:rsidRPr="00714659">
        <w:rPr>
          <w:lang w:val="pl-PL"/>
        </w:rPr>
        <w:t>[</w:t>
      </w:r>
      <w:r w:rsidR="00BF4E98">
        <w:rPr>
          <w:lang w:val="pl-PL"/>
        </w:rPr>
        <w:t>6</w:t>
      </w:r>
      <w:r w:rsidRPr="00714659">
        <w:rPr>
          <w:lang w:val="pl-PL"/>
        </w:rPr>
        <w:t xml:space="preserve">] </w:t>
      </w:r>
      <w:r w:rsidR="00757293" w:rsidRPr="00757293">
        <w:rPr>
          <w:lang w:val="pl-PL"/>
        </w:rPr>
        <w:t>Butkiewicz, H., Chodkiewicz, M., Madsen, A. O. &amp; Hoser, A. A. (2025). IUCrJ, 12, 123-136.</w:t>
      </w:r>
    </w:p>
    <w:p w14:paraId="6F3893A9" w14:textId="03842E14" w:rsidR="006D5A40" w:rsidRDefault="0073797A" w:rsidP="006B5513">
      <w:pPr>
        <w:pStyle w:val="NormalnyWeb"/>
        <w:spacing w:before="0" w:beforeAutospacing="0" w:after="120" w:afterAutospacing="0"/>
        <w:jc w:val="both"/>
      </w:pPr>
      <w:r>
        <w:rPr>
          <w:i/>
          <w:iCs/>
          <w:color w:val="000000"/>
          <w:sz w:val="20"/>
          <w:szCs w:val="20"/>
        </w:rPr>
        <w:t>Financial support from the Polish National Science Centre (SONATA17 grant 2021/43/D/ST4/03136) is kindly acknowledged.</w:t>
      </w:r>
    </w:p>
    <w:sectPr w:rsidR="006D5A40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63B5" w14:textId="77777777" w:rsidR="00F64952" w:rsidRDefault="00F64952">
      <w:pPr>
        <w:spacing w:after="0"/>
      </w:pPr>
      <w:r>
        <w:separator/>
      </w:r>
    </w:p>
  </w:endnote>
  <w:endnote w:type="continuationSeparator" w:id="0">
    <w:p w14:paraId="00359A2B" w14:textId="77777777" w:rsidR="00F64952" w:rsidRDefault="00F64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7D10" w14:textId="242CBA74" w:rsidR="006D5A40" w:rsidRDefault="006D5A40">
    <w:pPr>
      <w:pStyle w:val="Stopka"/>
    </w:pPr>
  </w:p>
  <w:p w14:paraId="5055879C" w14:textId="77777777" w:rsidR="006D5A40" w:rsidRDefault="006D5A40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624E" w14:textId="77777777" w:rsidR="00F64952" w:rsidRDefault="00F64952">
      <w:pPr>
        <w:spacing w:after="0"/>
      </w:pPr>
      <w:r>
        <w:separator/>
      </w:r>
    </w:p>
  </w:footnote>
  <w:footnote w:type="continuationSeparator" w:id="0">
    <w:p w14:paraId="2BAD044C" w14:textId="77777777" w:rsidR="00F64952" w:rsidRDefault="00F649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BC97" w14:textId="77777777" w:rsidR="006D5A40" w:rsidRDefault="00F64952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40"/>
    <w:rsid w:val="0013704B"/>
    <w:rsid w:val="00194BA8"/>
    <w:rsid w:val="001D09CF"/>
    <w:rsid w:val="00333032"/>
    <w:rsid w:val="003C356A"/>
    <w:rsid w:val="006B5513"/>
    <w:rsid w:val="006D5A40"/>
    <w:rsid w:val="00714659"/>
    <w:rsid w:val="0073797A"/>
    <w:rsid w:val="00757293"/>
    <w:rsid w:val="00BF4E98"/>
    <w:rsid w:val="00F64952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2E4F"/>
  <w15:docId w15:val="{348F73F9-1C49-4E2C-A53A-D1D2C17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3797A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Anna Hoser</cp:lastModifiedBy>
  <cp:revision>2</cp:revision>
  <dcterms:created xsi:type="dcterms:W3CDTF">2025-05-10T20:21:00Z</dcterms:created>
  <dcterms:modified xsi:type="dcterms:W3CDTF">2025-05-10T20:21:00Z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