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5136" w14:textId="53E45661" w:rsidR="005214C0" w:rsidRDefault="00127A08">
      <w:pPr>
        <w:pStyle w:val="Heading1"/>
      </w:pPr>
      <w:r>
        <w:t>T</w:t>
      </w:r>
      <w:r w:rsidR="00AF7591">
        <w:t>ime-resolved X-ray diffraction studies of enzymatic reactions</w:t>
      </w:r>
    </w:p>
    <w:p w14:paraId="5C5879F4" w14:textId="141B725B" w:rsidR="005214C0" w:rsidRDefault="00AF7591">
      <w:pPr>
        <w:pStyle w:val="Heading2"/>
      </w:pPr>
      <w:r>
        <w:t>Richard Neutze</w:t>
      </w:r>
    </w:p>
    <w:p w14:paraId="494B7C40" w14:textId="2D7A98E7" w:rsidR="005214C0" w:rsidRDefault="00BC4262">
      <w:pPr>
        <w:pStyle w:val="Heading3"/>
      </w:pPr>
      <w:r>
        <w:rPr>
          <w:vertAlign w:val="superscript"/>
        </w:rPr>
        <w:t>1</w:t>
      </w:r>
      <w:r w:rsidR="00AF7591">
        <w:t>Department of Chemistry and Molecular Biology, University of Gothenburg</w:t>
      </w:r>
    </w:p>
    <w:p w14:paraId="4EE5B78C" w14:textId="20563AC4" w:rsidR="00323C91" w:rsidRPr="00127A08" w:rsidRDefault="00BC4262" w:rsidP="00127A08">
      <w:pPr>
        <w:pStyle w:val="Heading3"/>
        <w:rPr>
          <w:sz w:val="18"/>
          <w:szCs w:val="18"/>
        </w:rPr>
      </w:pPr>
      <w:r>
        <w:t>Email of communicating</w:t>
      </w:r>
      <w:r w:rsidR="00AF7591">
        <w:t xml:space="preserve">: </w:t>
      </w:r>
      <w:r>
        <w:t xml:space="preserve"> </w:t>
      </w:r>
      <w:r w:rsidR="00AF7591">
        <w:t>richard.neutze@gu.se</w:t>
      </w:r>
      <w:r>
        <w:rPr>
          <w:lang w:eastAsia="de-DE"/>
        </w:rPr>
        <w:br/>
      </w:r>
    </w:p>
    <w:p w14:paraId="39722D14" w14:textId="55CDC64F" w:rsidR="003B6555" w:rsidRDefault="00323C91" w:rsidP="009F3483">
      <w:pPr>
        <w:autoSpaceDE w:val="0"/>
        <w:autoSpaceDN w:val="0"/>
        <w:adjustRightInd w:val="0"/>
      </w:pPr>
      <w:r w:rsidRPr="00127A08">
        <w:t>Time-resolved X-ray crystallography allows time-dependent structural changes to be visualized</w:t>
      </w:r>
      <w:r w:rsidR="00BD2726">
        <w:t xml:space="preserve"> at atomic-resolution</w:t>
      </w:r>
      <w:r w:rsidRPr="00127A08">
        <w:t xml:space="preserve"> as they evolve within protein crystals </w:t>
      </w:r>
      <w:r w:rsidR="00BD2726">
        <w:t>over a time-domain from sub-picoseconds to seconds</w:t>
      </w:r>
      <w:r w:rsidR="004A4EF1">
        <w:t xml:space="preserve"> </w:t>
      </w:r>
      <w:r w:rsidR="00127A08">
        <w:t>[1]</w:t>
      </w:r>
      <w:r w:rsidRPr="00127A08">
        <w:t>. Serial crystallography</w:t>
      </w:r>
      <w:r w:rsidR="004A4EF1">
        <w:t xml:space="preserve"> </w:t>
      </w:r>
      <w:r w:rsidR="00127A08">
        <w:t xml:space="preserve">[2] </w:t>
      </w:r>
      <w:r w:rsidRPr="00127A08">
        <w:t>is now routinely used for time-resolved X-ray diffraction studies of macromolecules at X-ray free electron laser and synchrotron radiation facilities. As the field grows, biological reactions that are not naturally light sensitive will be increasingly studied using time-resolved serial crystallograph</w:t>
      </w:r>
      <w:r w:rsidR="00127A08">
        <w:t>y</w:t>
      </w:r>
      <w:r w:rsidRPr="00127A08">
        <w:t>. In this</w:t>
      </w:r>
      <w:r w:rsidR="00127A08">
        <w:t xml:space="preserve"> presentation I will outline the development of time-resolved X-ray crystallography and in particular the growth of the field since the first proof-of-principle demonstration of time-resolved serial femtosecond X-ray crystallography</w:t>
      </w:r>
      <w:r w:rsidR="009F3483">
        <w:t xml:space="preserve"> </w:t>
      </w:r>
      <w:r w:rsidR="00127A08">
        <w:t>[3]. Structural results from the light-driven proton pump bacteriorhodopsin</w:t>
      </w:r>
      <w:r w:rsidR="004A4EF1">
        <w:t xml:space="preserve"> </w:t>
      </w:r>
      <w:r w:rsidR="009F3483">
        <w:t>[4]</w:t>
      </w:r>
      <w:r w:rsidR="004A4EF1">
        <w:t xml:space="preserve"> </w:t>
      </w:r>
      <w:r w:rsidR="00127A08">
        <w:t>will be used to illustrate what is possible with these methods</w:t>
      </w:r>
      <w:r w:rsidR="00E3255A">
        <w:t xml:space="preserve"> as well as discussing </w:t>
      </w:r>
      <w:r w:rsidR="00127A08">
        <w:t>some controversies in the field</w:t>
      </w:r>
      <w:r w:rsidR="009F3483">
        <w:t xml:space="preserve"> [5]. </w:t>
      </w:r>
    </w:p>
    <w:p w14:paraId="4CDE47B5" w14:textId="77777777" w:rsidR="009F3483" w:rsidRPr="009F3483" w:rsidRDefault="009F3483" w:rsidP="009F3483">
      <w:pPr>
        <w:autoSpaceDE w:val="0"/>
        <w:autoSpaceDN w:val="0"/>
        <w:adjustRightInd w:val="0"/>
      </w:pPr>
    </w:p>
    <w:p w14:paraId="3EFEB47C" w14:textId="699A93F7" w:rsidR="003B6555" w:rsidRDefault="003B6555">
      <w:pPr>
        <w:pStyle w:val="Heading6"/>
        <w:rPr>
          <w:b/>
        </w:rPr>
      </w:pPr>
      <w:r>
        <w:rPr>
          <w:noProof/>
        </w:rPr>
        <w:drawing>
          <wp:inline distT="0" distB="0" distL="0" distR="0" wp14:anchorId="571DD90A" wp14:editId="6E436FDE">
            <wp:extent cx="3189427" cy="2317318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05" cy="232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1135" w14:textId="26A81A3B" w:rsidR="005214C0" w:rsidRDefault="00BC4262">
      <w:pPr>
        <w:pStyle w:val="Heading6"/>
      </w:pPr>
      <w:r>
        <w:rPr>
          <w:b/>
        </w:rPr>
        <w:t>Figure 1</w:t>
      </w:r>
      <w:r>
        <w:t xml:space="preserve">. </w:t>
      </w:r>
      <w:r w:rsidR="003B6555">
        <w:t xml:space="preserve">Schematic of a pump-probe time-resolved serial X-ray crystallography setup used at an X-ray free electron laser. Schematic taken from Reference </w:t>
      </w:r>
      <w:r w:rsidR="00127A08">
        <w:t>[1].</w:t>
      </w:r>
    </w:p>
    <w:p w14:paraId="1AC22A19" w14:textId="77777777" w:rsidR="00AF7591" w:rsidRDefault="00AF7591" w:rsidP="00AD5118">
      <w:pPr>
        <w:pStyle w:val="Heading4"/>
        <w:spacing w:after="0"/>
        <w:ind w:left="0" w:firstLine="0"/>
        <w:jc w:val="left"/>
      </w:pPr>
    </w:p>
    <w:p w14:paraId="0CD03E09" w14:textId="121D210A" w:rsidR="00680646" w:rsidRPr="00680646" w:rsidRDefault="00680646" w:rsidP="00AD5118">
      <w:pPr>
        <w:pStyle w:val="EndNoteBibliography"/>
        <w:spacing w:after="0"/>
        <w:ind w:left="720" w:hanging="720"/>
        <w:jc w:val="left"/>
      </w:pPr>
      <w:r>
        <w:t>[1]</w:t>
      </w:r>
      <w:r>
        <w:tab/>
      </w:r>
      <w:r w:rsidRPr="00680646">
        <w:t>Branden, G. &amp; Neutze, R. (2021).</w:t>
      </w:r>
      <w:r w:rsidRPr="00680646">
        <w:rPr>
          <w:i/>
        </w:rPr>
        <w:t xml:space="preserve"> Science</w:t>
      </w:r>
      <w:r w:rsidRPr="00680646">
        <w:t xml:space="preserve"> </w:t>
      </w:r>
      <w:r w:rsidRPr="00680646">
        <w:rPr>
          <w:b/>
        </w:rPr>
        <w:t>373</w:t>
      </w:r>
      <w:r w:rsidRPr="00680646">
        <w:t>, eaba0954</w:t>
      </w:r>
      <w:r w:rsidR="00AD5118">
        <w:t>; K</w:t>
      </w:r>
      <w:r w:rsidR="00AD5118" w:rsidRPr="00CC4447">
        <w:t>husainov, G., Standfuss, J. &amp; Weinert, T. (2024).</w:t>
      </w:r>
      <w:r w:rsidR="00AD5118" w:rsidRPr="00CC4447">
        <w:rPr>
          <w:i/>
        </w:rPr>
        <w:t xml:space="preserve"> Struct Dyn</w:t>
      </w:r>
      <w:r w:rsidR="00AD5118" w:rsidRPr="00CC4447">
        <w:t xml:space="preserve"> </w:t>
      </w:r>
      <w:r w:rsidR="00AD5118" w:rsidRPr="00CC4447">
        <w:rPr>
          <w:b/>
        </w:rPr>
        <w:t>11</w:t>
      </w:r>
      <w:r w:rsidR="00AD5118" w:rsidRPr="00CC4447">
        <w:t>, 020901.</w:t>
      </w:r>
    </w:p>
    <w:p w14:paraId="0D8CCDDE" w14:textId="1B4841EE" w:rsidR="009F3483" w:rsidRPr="00680646" w:rsidRDefault="009F3483" w:rsidP="00AD5118">
      <w:pPr>
        <w:pStyle w:val="EndNoteBibliography"/>
        <w:spacing w:after="0"/>
        <w:ind w:left="720" w:hanging="720"/>
        <w:jc w:val="left"/>
      </w:pPr>
      <w:r>
        <w:t xml:space="preserve">[2] </w:t>
      </w:r>
      <w:r>
        <w:tab/>
      </w:r>
      <w:r w:rsidRPr="00680646">
        <w:t xml:space="preserve">Chapman, H. N., </w:t>
      </w:r>
      <w:r w:rsidRPr="009F3483">
        <w:rPr>
          <w:i/>
          <w:iCs/>
        </w:rPr>
        <w:t>et al.</w:t>
      </w:r>
      <w:r>
        <w:t xml:space="preserve"> </w:t>
      </w:r>
      <w:r w:rsidRPr="00680646">
        <w:t>(2011).</w:t>
      </w:r>
      <w:r w:rsidRPr="00680646">
        <w:rPr>
          <w:i/>
        </w:rPr>
        <w:t xml:space="preserve"> Nature</w:t>
      </w:r>
      <w:r w:rsidRPr="00680646">
        <w:t xml:space="preserve"> </w:t>
      </w:r>
      <w:r w:rsidRPr="00680646">
        <w:rPr>
          <w:b/>
        </w:rPr>
        <w:t>470</w:t>
      </w:r>
      <w:r w:rsidRPr="00680646">
        <w:t>, 73-77.</w:t>
      </w:r>
    </w:p>
    <w:p w14:paraId="31DD4DD8" w14:textId="4BAA0376" w:rsidR="009F3483" w:rsidRDefault="009F3483" w:rsidP="00AD5118">
      <w:pPr>
        <w:pStyle w:val="EndNoteBibliography"/>
        <w:spacing w:after="0"/>
        <w:ind w:left="720" w:hanging="720"/>
        <w:jc w:val="left"/>
      </w:pPr>
      <w:r>
        <w:t>[3]</w:t>
      </w:r>
      <w:r>
        <w:tab/>
      </w:r>
      <w:r w:rsidRPr="00680646">
        <w:t>Tenboer, J.</w:t>
      </w:r>
      <w:r>
        <w:t>,</w:t>
      </w:r>
      <w:r w:rsidRPr="009F3483">
        <w:rPr>
          <w:i/>
          <w:iCs/>
        </w:rPr>
        <w:t xml:space="preserve"> et al.</w:t>
      </w:r>
      <w:r w:rsidRPr="00680646">
        <w:t xml:space="preserve"> (2014).</w:t>
      </w:r>
      <w:r w:rsidRPr="00680646">
        <w:rPr>
          <w:i/>
        </w:rPr>
        <w:t xml:space="preserve"> Science</w:t>
      </w:r>
      <w:r w:rsidRPr="00680646">
        <w:t xml:space="preserve"> </w:t>
      </w:r>
      <w:r w:rsidRPr="00680646">
        <w:rPr>
          <w:b/>
        </w:rPr>
        <w:t>346</w:t>
      </w:r>
      <w:r w:rsidRPr="00680646">
        <w:t>, 1242-1246.</w:t>
      </w:r>
    </w:p>
    <w:p w14:paraId="5E878C7D" w14:textId="2F13E0BF" w:rsidR="009F3483" w:rsidRPr="00680646" w:rsidRDefault="009F3483" w:rsidP="00AD5118">
      <w:pPr>
        <w:pStyle w:val="EndNoteBibliography"/>
        <w:spacing w:after="0"/>
        <w:ind w:left="720" w:hanging="720"/>
        <w:jc w:val="left"/>
      </w:pPr>
      <w:r>
        <w:t xml:space="preserve">[4] </w:t>
      </w:r>
      <w:r>
        <w:tab/>
      </w:r>
      <w:r w:rsidRPr="00680646">
        <w:t xml:space="preserve">Nango, E., </w:t>
      </w:r>
      <w:r w:rsidRPr="009F3483">
        <w:rPr>
          <w:i/>
          <w:iCs/>
        </w:rPr>
        <w:t>et al.</w:t>
      </w:r>
      <w:r>
        <w:t xml:space="preserve"> </w:t>
      </w:r>
      <w:r w:rsidRPr="00680646">
        <w:t>(2016).</w:t>
      </w:r>
      <w:r w:rsidRPr="00680646">
        <w:rPr>
          <w:i/>
        </w:rPr>
        <w:t xml:space="preserve"> Science</w:t>
      </w:r>
      <w:r w:rsidRPr="00680646">
        <w:t xml:space="preserve"> </w:t>
      </w:r>
      <w:r w:rsidRPr="00680646">
        <w:rPr>
          <w:b/>
        </w:rPr>
        <w:t>354</w:t>
      </w:r>
      <w:r w:rsidRPr="00680646">
        <w:t>, 1552-1557</w:t>
      </w:r>
      <w:r>
        <w:t xml:space="preserve">; </w:t>
      </w:r>
      <w:r w:rsidRPr="00680646">
        <w:t>Nogly, P.</w:t>
      </w:r>
      <w:r>
        <w:t xml:space="preserve"> </w:t>
      </w:r>
      <w:r w:rsidRPr="009F3483">
        <w:rPr>
          <w:i/>
          <w:iCs/>
        </w:rPr>
        <w:t xml:space="preserve">et al. </w:t>
      </w:r>
      <w:r w:rsidRPr="00680646">
        <w:t>(2018).</w:t>
      </w:r>
      <w:r w:rsidRPr="00680646">
        <w:rPr>
          <w:i/>
        </w:rPr>
        <w:t xml:space="preserve"> Science</w:t>
      </w:r>
      <w:r w:rsidRPr="00680646">
        <w:t xml:space="preserve"> </w:t>
      </w:r>
      <w:r w:rsidRPr="00680646">
        <w:rPr>
          <w:b/>
        </w:rPr>
        <w:t>361</w:t>
      </w:r>
      <w:r w:rsidRPr="00680646">
        <w:t>, eaat0094</w:t>
      </w:r>
      <w:r>
        <w:t>;</w:t>
      </w:r>
      <w:r w:rsidRPr="009F3483">
        <w:t xml:space="preserve"> </w:t>
      </w:r>
      <w:r w:rsidRPr="00680646">
        <w:t>Bertrand, Q.</w:t>
      </w:r>
      <w:r>
        <w:t xml:space="preserve"> </w:t>
      </w:r>
      <w:r w:rsidRPr="009F3483">
        <w:rPr>
          <w:i/>
          <w:iCs/>
        </w:rPr>
        <w:t>et al.</w:t>
      </w:r>
      <w:r w:rsidRPr="00680646">
        <w:t xml:space="preserve"> (2024).</w:t>
      </w:r>
      <w:r w:rsidRPr="00680646">
        <w:rPr>
          <w:i/>
        </w:rPr>
        <w:t xml:space="preserve"> Nat Commun</w:t>
      </w:r>
      <w:r w:rsidRPr="00680646">
        <w:t xml:space="preserve"> </w:t>
      </w:r>
      <w:r w:rsidRPr="00680646">
        <w:rPr>
          <w:b/>
        </w:rPr>
        <w:t>15</w:t>
      </w:r>
      <w:r w:rsidRPr="00680646">
        <w:t>, 10278.</w:t>
      </w:r>
    </w:p>
    <w:p w14:paraId="3F148C5C" w14:textId="6B94BAD0" w:rsidR="00680646" w:rsidRPr="00680646" w:rsidRDefault="00680646" w:rsidP="00AD5118">
      <w:pPr>
        <w:pStyle w:val="EndNoteBibliography"/>
        <w:spacing w:after="0"/>
        <w:jc w:val="left"/>
      </w:pPr>
      <w:r>
        <w:t>[</w:t>
      </w:r>
      <w:r w:rsidR="009F3483">
        <w:t>5</w:t>
      </w:r>
      <w:r>
        <w:t xml:space="preserve">] </w:t>
      </w:r>
      <w:r>
        <w:tab/>
      </w:r>
      <w:r w:rsidR="004A4EF1">
        <w:fldChar w:fldCharType="begin"/>
      </w:r>
      <w:r w:rsidR="004A4EF1">
        <w:instrText xml:space="preserve"> ADDIN EN.REFLIST </w:instrText>
      </w:r>
      <w:r w:rsidR="004A4EF1">
        <w:fldChar w:fldCharType="separate"/>
      </w:r>
      <w:r w:rsidRPr="00680646">
        <w:t>Barends, T. R.</w:t>
      </w:r>
      <w:r>
        <w:t xml:space="preserve"> </w:t>
      </w:r>
      <w:r w:rsidRPr="00680646">
        <w:rPr>
          <w:i/>
          <w:iCs/>
        </w:rPr>
        <w:t>et al.</w:t>
      </w:r>
      <w:r w:rsidRPr="00680646">
        <w:t xml:space="preserve"> (2024).</w:t>
      </w:r>
      <w:r w:rsidRPr="00680646">
        <w:rPr>
          <w:i/>
        </w:rPr>
        <w:t xml:space="preserve"> Nature</w:t>
      </w:r>
      <w:r w:rsidRPr="00680646">
        <w:t xml:space="preserve"> </w:t>
      </w:r>
      <w:r w:rsidRPr="00680646">
        <w:rPr>
          <w:b/>
        </w:rPr>
        <w:t>626</w:t>
      </w:r>
      <w:r w:rsidRPr="00680646">
        <w:t>, 905-911</w:t>
      </w:r>
      <w:r w:rsidR="009F3483">
        <w:t xml:space="preserve">; </w:t>
      </w:r>
      <w:r w:rsidRPr="00680646">
        <w:t>Neutze, R. &amp; Miller, R. J. D. (2024).</w:t>
      </w:r>
      <w:r w:rsidRPr="00680646">
        <w:rPr>
          <w:i/>
        </w:rPr>
        <w:t xml:space="preserve"> Nature</w:t>
      </w:r>
      <w:r w:rsidRPr="00680646">
        <w:t xml:space="preserve"> </w:t>
      </w:r>
      <w:r w:rsidRPr="00680646">
        <w:rPr>
          <w:b/>
        </w:rPr>
        <w:t>626</w:t>
      </w:r>
      <w:r w:rsidRPr="00680646">
        <w:t>, 720-722.</w:t>
      </w:r>
    </w:p>
    <w:p w14:paraId="4340E1BC" w14:textId="31F4257C" w:rsidR="00680646" w:rsidRPr="00680646" w:rsidRDefault="00680646" w:rsidP="00AD5118">
      <w:pPr>
        <w:pStyle w:val="EndNoteBibliography"/>
        <w:spacing w:after="0"/>
        <w:ind w:left="720" w:hanging="720"/>
        <w:jc w:val="left"/>
      </w:pPr>
    </w:p>
    <w:p w14:paraId="0488D430" w14:textId="71C71111" w:rsidR="005214C0" w:rsidRDefault="004A4EF1" w:rsidP="00AD5118">
      <w:pPr>
        <w:pStyle w:val="Acknowledgement"/>
        <w:spacing w:after="0"/>
        <w:jc w:val="left"/>
      </w:pPr>
      <w:r>
        <w:fldChar w:fldCharType="end"/>
      </w:r>
    </w:p>
    <w:sectPr w:rsidR="005214C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EF9B" w14:textId="77777777" w:rsidR="005E0498" w:rsidRDefault="005E0498">
      <w:pPr>
        <w:spacing w:after="0"/>
      </w:pPr>
      <w:r>
        <w:separator/>
      </w:r>
    </w:p>
  </w:endnote>
  <w:endnote w:type="continuationSeparator" w:id="0">
    <w:p w14:paraId="61BD9A0B" w14:textId="77777777" w:rsidR="005E0498" w:rsidRDefault="005E0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S Minch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9D2B" w14:textId="77777777" w:rsidR="005214C0" w:rsidRDefault="00BC426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93A4CAC" w14:textId="77777777" w:rsidR="005214C0" w:rsidRDefault="005214C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8CDC" w14:textId="77777777" w:rsidR="005E0498" w:rsidRDefault="005E0498">
      <w:pPr>
        <w:spacing w:after="0"/>
      </w:pPr>
      <w:r>
        <w:separator/>
      </w:r>
    </w:p>
  </w:footnote>
  <w:footnote w:type="continuationSeparator" w:id="0">
    <w:p w14:paraId="319C155D" w14:textId="77777777" w:rsidR="005E0498" w:rsidRDefault="005E04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0602" w14:textId="77777777" w:rsidR="005214C0" w:rsidRDefault="00BC426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ta Crystallographica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rdxvr2xxwr2me9f9pvstp6v50edxwv5p9x&quot;&gt;Science_review-Converted&lt;record-ids&gt;&lt;item&gt;4&lt;/item&gt;&lt;item&gt;6&lt;/item&gt;&lt;item&gt;44&lt;/item&gt;&lt;item&gt;48&lt;/item&gt;&lt;item&gt;222&lt;/item&gt;&lt;item&gt;239&lt;/item&gt;&lt;item&gt;240&lt;/item&gt;&lt;item&gt;241&lt;/item&gt;&lt;/record-ids&gt;&lt;/item&gt;&lt;/Libraries&gt;"/>
    <w:docVar w:name="EN.UseJSCitationFormat" w:val="False"/>
  </w:docVars>
  <w:rsids>
    <w:rsidRoot w:val="005214C0"/>
    <w:rsid w:val="00127A08"/>
    <w:rsid w:val="00323C91"/>
    <w:rsid w:val="003A7123"/>
    <w:rsid w:val="003B6555"/>
    <w:rsid w:val="004A4EF1"/>
    <w:rsid w:val="005214C0"/>
    <w:rsid w:val="005E0498"/>
    <w:rsid w:val="00680646"/>
    <w:rsid w:val="0076177B"/>
    <w:rsid w:val="009F3483"/>
    <w:rsid w:val="00AD5118"/>
    <w:rsid w:val="00AF7591"/>
    <w:rsid w:val="00BC4262"/>
    <w:rsid w:val="00BD2726"/>
    <w:rsid w:val="00DD00D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1E87"/>
  <w15:docId w15:val="{09FA6585-0AFB-47E7-863C-310D8DF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A4EF1"/>
    <w:pPr>
      <w:spacing w:after="0"/>
      <w:jc w:val="center"/>
    </w:pPr>
    <w:rPr>
      <w:noProof/>
      <w:lang w:val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A4EF1"/>
    <w:rPr>
      <w:noProof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4A4EF1"/>
    <w:rPr>
      <w:noProof/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rsid w:val="004A4EF1"/>
    <w:rPr>
      <w:noProof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Richard Neutze</cp:lastModifiedBy>
  <cp:revision>9</cp:revision>
  <dcterms:created xsi:type="dcterms:W3CDTF">2025-06-17T05:03:00Z</dcterms:created>
  <dcterms:modified xsi:type="dcterms:W3CDTF">2025-06-17T08:03:00Z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