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C02F" w14:textId="274DFFB3" w:rsidR="00651235" w:rsidRPr="00A7222A" w:rsidRDefault="00A7222A">
      <w:pPr>
        <w:pStyle w:val="Nagwek1"/>
        <w:rPr>
          <w:lang w:val="en-US"/>
        </w:rPr>
      </w:pPr>
      <w:r w:rsidRPr="00A7222A">
        <w:rPr>
          <w:lang w:val="en-US"/>
        </w:rPr>
        <w:t xml:space="preserve">Detecting Symmetry Groups in Crystallographic </w:t>
      </w:r>
      <w:proofErr w:type="spellStart"/>
      <w:r w:rsidRPr="00A7222A">
        <w:rPr>
          <w:lang w:val="en-US"/>
        </w:rPr>
        <w:t>Tilings</w:t>
      </w:r>
      <w:proofErr w:type="spellEnd"/>
      <w:r w:rsidRPr="00A7222A">
        <w:rPr>
          <w:lang w:val="en-US"/>
        </w:rPr>
        <w:t xml:space="preserve"> </w:t>
      </w:r>
    </w:p>
    <w:p w14:paraId="634A8AB0" w14:textId="775B3E4B" w:rsidR="00651235" w:rsidRPr="000E505F" w:rsidRDefault="00A7222A" w:rsidP="00A7222A">
      <w:pPr>
        <w:pStyle w:val="Nagwek2"/>
        <w:rPr>
          <w:lang w:val="pl-PL"/>
        </w:rPr>
      </w:pPr>
      <w:r w:rsidRPr="000E505F">
        <w:rPr>
          <w:lang w:val="pl-PL"/>
        </w:rPr>
        <w:t>B. Naskrecki</w:t>
      </w:r>
      <w:r w:rsidRPr="000E505F">
        <w:rPr>
          <w:vertAlign w:val="superscript"/>
          <w:lang w:val="pl-PL"/>
        </w:rPr>
        <w:t>1</w:t>
      </w:r>
      <w:r w:rsidRPr="000E505F">
        <w:rPr>
          <w:lang w:val="pl-PL"/>
        </w:rPr>
        <w:t>, P. Balewski</w:t>
      </w:r>
      <w:r w:rsidRPr="000E505F">
        <w:rPr>
          <w:vertAlign w:val="superscript"/>
          <w:lang w:val="pl-PL"/>
        </w:rPr>
        <w:t>2</w:t>
      </w:r>
      <w:r w:rsidRPr="000E505F">
        <w:rPr>
          <w:lang w:val="pl-PL"/>
        </w:rPr>
        <w:t>, M. Janicki</w:t>
      </w:r>
      <w:r w:rsidRPr="000E505F">
        <w:rPr>
          <w:vertAlign w:val="superscript"/>
          <w:lang w:val="pl-PL"/>
        </w:rPr>
        <w:t>2</w:t>
      </w:r>
      <w:r w:rsidRPr="000E505F">
        <w:rPr>
          <w:lang w:val="pl-PL"/>
        </w:rPr>
        <w:t>, J. Kubiak</w:t>
      </w:r>
      <w:r w:rsidRPr="000E505F">
        <w:rPr>
          <w:vertAlign w:val="superscript"/>
          <w:lang w:val="pl-PL"/>
        </w:rPr>
        <w:t>2</w:t>
      </w:r>
      <w:r w:rsidRPr="000E505F">
        <w:rPr>
          <w:lang w:val="pl-PL"/>
        </w:rPr>
        <w:t>, J. Lorenz</w:t>
      </w:r>
      <w:r w:rsidRPr="000E505F">
        <w:rPr>
          <w:vertAlign w:val="superscript"/>
          <w:lang w:val="pl-PL"/>
        </w:rPr>
        <w:t>2</w:t>
      </w:r>
      <w:r w:rsidRPr="000E505F">
        <w:rPr>
          <w:lang w:val="pl-PL"/>
        </w:rPr>
        <w:t>, J. Malinowski</w:t>
      </w:r>
      <w:r w:rsidRPr="000E505F">
        <w:rPr>
          <w:vertAlign w:val="superscript"/>
          <w:lang w:val="pl-PL"/>
        </w:rPr>
        <w:t>3</w:t>
      </w:r>
      <w:r w:rsidRPr="000E505F">
        <w:rPr>
          <w:lang w:val="pl-PL"/>
        </w:rPr>
        <w:t>, D. Brzeziński</w:t>
      </w:r>
      <w:r w:rsidRPr="000E505F">
        <w:rPr>
          <w:vertAlign w:val="superscript"/>
          <w:lang w:val="pl-PL"/>
        </w:rPr>
        <w:t>2</w:t>
      </w:r>
    </w:p>
    <w:p w14:paraId="3DB763F2" w14:textId="6CCBD696" w:rsidR="00651235" w:rsidRPr="00A7222A" w:rsidRDefault="00000000">
      <w:pPr>
        <w:pStyle w:val="Nagwek3"/>
        <w:rPr>
          <w:lang w:val="en-US"/>
        </w:rPr>
      </w:pPr>
      <w:r w:rsidRPr="00A7222A">
        <w:rPr>
          <w:vertAlign w:val="superscript"/>
          <w:lang w:val="en-US"/>
        </w:rPr>
        <w:t>1</w:t>
      </w:r>
      <w:r w:rsidR="00A7222A" w:rsidRPr="00A7222A">
        <w:rPr>
          <w:lang w:val="en-US"/>
        </w:rPr>
        <w:t xml:space="preserve">Adam Mickiewicz University </w:t>
      </w:r>
      <w:proofErr w:type="spellStart"/>
      <w:r w:rsidR="00A7222A" w:rsidRPr="00A7222A">
        <w:rPr>
          <w:lang w:val="en-US"/>
        </w:rPr>
        <w:t>Poznań</w:t>
      </w:r>
      <w:proofErr w:type="spellEnd"/>
      <w:r w:rsidRPr="00A7222A">
        <w:rPr>
          <w:lang w:val="en-US"/>
        </w:rPr>
        <w:t xml:space="preserve"> </w:t>
      </w:r>
      <w:r w:rsidRPr="00A7222A">
        <w:rPr>
          <w:vertAlign w:val="superscript"/>
          <w:lang w:val="en-US"/>
        </w:rPr>
        <w:t>2</w:t>
      </w:r>
      <w:r w:rsidR="00A7222A" w:rsidRPr="00A7222A">
        <w:rPr>
          <w:lang w:val="en-US"/>
        </w:rPr>
        <w:t xml:space="preserve">Poznań University of Technology </w:t>
      </w:r>
      <w:r w:rsidR="00A7222A" w:rsidRPr="00A7222A">
        <w:rPr>
          <w:vertAlign w:val="superscript"/>
          <w:lang w:val="en-US"/>
        </w:rPr>
        <w:t>3</w:t>
      </w:r>
      <w:r w:rsidR="00A7222A" w:rsidRPr="00A7222A">
        <w:rPr>
          <w:lang w:val="en-US"/>
        </w:rPr>
        <w:t>Wrocław University of Technology</w:t>
      </w:r>
    </w:p>
    <w:p w14:paraId="3F8204DE" w14:textId="43146130" w:rsidR="00651235" w:rsidRPr="00A7222A" w:rsidRDefault="00A7222A">
      <w:pPr>
        <w:pStyle w:val="Nagwek3"/>
        <w:rPr>
          <w:sz w:val="18"/>
          <w:szCs w:val="18"/>
          <w:lang w:val="en-US"/>
        </w:rPr>
      </w:pPr>
      <w:r w:rsidRPr="00A7222A">
        <w:rPr>
          <w:lang w:val="en-US"/>
        </w:rPr>
        <w:t>bartosz.naskrecki@amu.edu.pl</w:t>
      </w:r>
      <w:r w:rsidRPr="00A7222A">
        <w:rPr>
          <w:lang w:val="en-US" w:eastAsia="de-DE"/>
        </w:rPr>
        <w:br/>
      </w:r>
    </w:p>
    <w:p w14:paraId="01A9341A" w14:textId="6896F7DB" w:rsidR="00A7222A" w:rsidRPr="00A7222A" w:rsidRDefault="00A7222A" w:rsidP="00A7222A">
      <w:pPr>
        <w:rPr>
          <w:lang w:val="en-US"/>
        </w:rPr>
      </w:pPr>
      <w:r w:rsidRPr="00A7222A">
        <w:rPr>
          <w:lang w:val="en-US"/>
        </w:rPr>
        <w:t xml:space="preserve">In crystallography, identifying symmetry groups is crucial for understanding material properties and structures. Our research combines mathematical theory with machine learning to automate the detection of symmetry groups in crystallographic </w:t>
      </w:r>
      <w:proofErr w:type="spellStart"/>
      <w:r w:rsidRPr="00A7222A">
        <w:rPr>
          <w:lang w:val="en-US"/>
        </w:rPr>
        <w:t>tilings</w:t>
      </w:r>
      <w:proofErr w:type="spellEnd"/>
      <w:r w:rsidRPr="00A7222A">
        <w:rPr>
          <w:lang w:val="en-US"/>
        </w:rPr>
        <w:t>, cf. [3-5].</w:t>
      </w:r>
    </w:p>
    <w:p w14:paraId="6A2810E0" w14:textId="77777777" w:rsidR="00A7222A" w:rsidRPr="00A7222A" w:rsidRDefault="00A7222A" w:rsidP="00A7222A">
      <w:pPr>
        <w:rPr>
          <w:lang w:val="en-US"/>
        </w:rPr>
      </w:pPr>
      <w:r w:rsidRPr="00A7222A">
        <w:rPr>
          <w:lang w:val="en-US"/>
        </w:rPr>
        <w:t>By analyzing growth function coefficients derived from orphic diagrams [1], we develop a hierarchical classification approach that precisely identifies the 17 wallpaper groups in two-dimensional space. This interdisciplinary approach bridges pure mathematics with practical applications in crystallography and material science.</w:t>
      </w:r>
    </w:p>
    <w:p w14:paraId="149ED007" w14:textId="77777777" w:rsidR="00FF4E5D" w:rsidRDefault="00A7222A" w:rsidP="00A7222A">
      <w:pPr>
        <w:rPr>
          <w:lang w:val="en-US"/>
        </w:rPr>
      </w:pPr>
      <w:r w:rsidRPr="00A7222A">
        <w:rPr>
          <w:lang w:val="en-US"/>
        </w:rPr>
        <w:t>Crystallographic groups characterize the symmetry of periodic patterns in nature. The classification of these groups is well-established mathematically, but identifying them from physical data remains challenging. In two dimensions, 17 distinct wallpaper groups exist, each with unique combinations of translations, rotations, reflections, and glide reflections. Our work develops an AI-driven approach to classify these groups based on their growth characteristics rather than conventional geometric analysis.</w:t>
      </w:r>
    </w:p>
    <w:p w14:paraId="6F2A3063" w14:textId="65B06F80" w:rsidR="00FF4E5D" w:rsidRDefault="000E505F" w:rsidP="00FF4E5D">
      <w:pPr>
        <w:jc w:val="center"/>
        <w:rPr>
          <w:lang w:val="en-US"/>
        </w:rPr>
      </w:pPr>
      <w:r>
        <w:rPr>
          <w:noProof/>
          <w:lang w:val="en-US"/>
        </w:rPr>
        <w:pict w14:anchorId="294D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Obraz zawierający diagram, Wielobarwność, linia, design&#10;&#10;Zawartość wygenerowana przez sztuczną inteligencję może być niepoprawna." style="width:142.85pt;height:142.85pt;visibility:visible;mso-wrap-style:square">
            <v:imagedata r:id="rId8" o:title="Obraz zawierający diagram, Wielobarwność, linia, design&#10;&#10;Zawartość wygenerowana przez sztuczną inteligencję może być niepoprawna"/>
          </v:shape>
        </w:pict>
      </w:r>
      <w:r>
        <w:rPr>
          <w:noProof/>
          <w:lang w:val="en-US"/>
        </w:rPr>
        <w:pict w14:anchorId="38E81324">
          <v:shape id="_x0000_i1025" type="#_x0000_t75" alt="Obraz zawierający diagram, linia, origami&#10;&#10;Zawartość wygenerowana przez sztuczną inteligencję może być niepoprawna." style="width:144.6pt;height:131.35pt;visibility:visible;mso-wrap-style:square">
            <v:imagedata r:id="rId9" o:title="Obraz zawierający diagram, linia, origami&#10;&#10;Zawartość wygenerowana przez sztuczną inteligencję może być niepoprawna"/>
          </v:shape>
        </w:pict>
      </w:r>
      <w:r>
        <w:rPr>
          <w:noProof/>
          <w:lang w:val="en-US"/>
        </w:rPr>
        <w:pict w14:anchorId="255269C5">
          <v:shape id="_x0000_i1034" type="#_x0000_t75" alt="Obraz zawierający diagram, Plan, Rysunek techniczny, linia&#10;&#10;Zawartość wygenerowana przez sztuczną inteligencję może być niepoprawna." style="width:203.35pt;height:157.8pt;visibility:visible;mso-wrap-style:square">
            <v:imagedata r:id="rId10" o:title="Obraz zawierający diagram, Plan, Rysunek techniczny, linia&#10;&#10;Zawartość wygenerowana przez sztuczną inteligencję może być niepoprawna"/>
          </v:shape>
        </w:pict>
      </w:r>
    </w:p>
    <w:p w14:paraId="53174424" w14:textId="2207E30A" w:rsidR="00651235" w:rsidRDefault="00FF4E5D" w:rsidP="00A7222A">
      <w:pPr>
        <w:rPr>
          <w:lang w:val="en-US"/>
        </w:rPr>
      </w:pPr>
      <w:r w:rsidRPr="00FF4E5D">
        <w:rPr>
          <w:lang w:val="en-US"/>
        </w:rPr>
        <w:t xml:space="preserve">Growth functions in crystallography describe how the number of cells, edges, and vertices increases as a periodic tiling expands. For a tessellation with symmetry group G, the growth function </w:t>
      </w:r>
      <w:proofErr w:type="spellStart"/>
      <w:r w:rsidRPr="00FF4E5D">
        <w:rPr>
          <w:lang w:val="en-US"/>
        </w:rPr>
        <w:t>f</w:t>
      </w:r>
      <w:r w:rsidRPr="00FF4E5D">
        <w:rPr>
          <w:vertAlign w:val="subscript"/>
          <w:lang w:val="en-US"/>
        </w:rPr>
        <w:t>d</w:t>
      </w:r>
      <w:proofErr w:type="spellEnd"/>
      <w:r w:rsidRPr="00FF4E5D">
        <w:rPr>
          <w:lang w:val="en-US"/>
        </w:rPr>
        <w:t>(</w:t>
      </w:r>
      <w:proofErr w:type="spellStart"/>
      <w:r w:rsidRPr="00FF4E5D">
        <w:rPr>
          <w:lang w:val="en-US"/>
        </w:rPr>
        <w:t>m,n</w:t>
      </w:r>
      <w:proofErr w:type="spellEnd"/>
      <w:r>
        <w:rPr>
          <w:lang w:val="en-US"/>
        </w:rPr>
        <w:t>)</w:t>
      </w:r>
      <w:r w:rsidRPr="00FF4E5D">
        <w:rPr>
          <w:lang w:val="en-US"/>
        </w:rPr>
        <w:t xml:space="preserve"> counts the number of d-dimensional cells when expanding m steps in one direction and n steps in another.</w:t>
      </w:r>
      <w:r w:rsidR="000E505F">
        <w:rPr>
          <w:lang w:val="en-US"/>
        </w:rPr>
        <w:t xml:space="preserve"> </w:t>
      </w:r>
      <w:r w:rsidRPr="00FF4E5D">
        <w:rPr>
          <w:lang w:val="en-US"/>
        </w:rPr>
        <w:t>These functions have the form:</w:t>
      </w:r>
      <w:r w:rsidR="000E505F">
        <w:rPr>
          <w:lang w:val="en-US"/>
        </w:rPr>
        <w:t xml:space="preserve"> </w:t>
      </w:r>
      <w:proofErr w:type="spellStart"/>
      <w:r w:rsidRPr="00FF4E5D">
        <w:rPr>
          <w:lang w:val="en-US"/>
        </w:rPr>
        <w:t>f</w:t>
      </w:r>
      <w:r w:rsidRPr="00FF4E5D">
        <w:rPr>
          <w:vertAlign w:val="subscript"/>
          <w:lang w:val="en-US"/>
        </w:rPr>
        <w:t>d</w:t>
      </w:r>
      <w:proofErr w:type="spellEnd"/>
      <w:r w:rsidRPr="00FF4E5D">
        <w:rPr>
          <w:lang w:val="en-US"/>
        </w:rPr>
        <w:t>(</w:t>
      </w:r>
      <w:proofErr w:type="spellStart"/>
      <w:r w:rsidRPr="00FF4E5D">
        <w:rPr>
          <w:lang w:val="en-US"/>
        </w:rPr>
        <w:t>m,n</w:t>
      </w:r>
      <w:proofErr w:type="spellEnd"/>
      <w:r w:rsidRPr="00FF4E5D">
        <w:rPr>
          <w:lang w:val="en-US"/>
        </w:rPr>
        <w:t>) = C</w:t>
      </w:r>
      <w:r w:rsidRPr="00FF4E5D">
        <w:rPr>
          <w:vertAlign w:val="subscript"/>
          <w:lang w:val="en-US"/>
        </w:rPr>
        <w:t>d0</w:t>
      </w:r>
      <w:r>
        <w:rPr>
          <w:lang w:val="en-US"/>
        </w:rPr>
        <w:t xml:space="preserve"> </w:t>
      </w:r>
      <w:proofErr w:type="spellStart"/>
      <w:r w:rsidRPr="00FF4E5D">
        <w:rPr>
          <w:lang w:val="en-US"/>
        </w:rPr>
        <w:t>mn</w:t>
      </w:r>
      <w:proofErr w:type="spellEnd"/>
      <w:r w:rsidRPr="00FF4E5D">
        <w:rPr>
          <w:lang w:val="en-US"/>
        </w:rPr>
        <w:t xml:space="preserve"> + C</w:t>
      </w:r>
      <w:r w:rsidRPr="00FF4E5D">
        <w:rPr>
          <w:vertAlign w:val="subscript"/>
          <w:lang w:val="en-US"/>
        </w:rPr>
        <w:t>d1</w:t>
      </w:r>
      <w:r>
        <w:rPr>
          <w:vertAlign w:val="subscript"/>
          <w:lang w:val="en-US"/>
        </w:rPr>
        <w:t xml:space="preserve"> </w:t>
      </w:r>
      <w:r w:rsidRPr="00FF4E5D">
        <w:rPr>
          <w:lang w:val="en-US"/>
        </w:rPr>
        <w:t>m + C</w:t>
      </w:r>
      <w:r w:rsidRPr="00FF4E5D">
        <w:rPr>
          <w:vertAlign w:val="subscript"/>
          <w:lang w:val="en-US"/>
        </w:rPr>
        <w:t>d2</w:t>
      </w:r>
      <w:r>
        <w:rPr>
          <w:lang w:val="en-US"/>
        </w:rPr>
        <w:t xml:space="preserve"> </w:t>
      </w:r>
      <w:r w:rsidRPr="00FF4E5D">
        <w:rPr>
          <w:lang w:val="en-US"/>
        </w:rPr>
        <w:t>n + C</w:t>
      </w:r>
      <w:r w:rsidRPr="00FF4E5D">
        <w:rPr>
          <w:vertAlign w:val="subscript"/>
          <w:lang w:val="en-US"/>
        </w:rPr>
        <w:t>d3</w:t>
      </w:r>
      <w:r w:rsidR="000E505F">
        <w:rPr>
          <w:lang w:val="en-US"/>
        </w:rPr>
        <w:t xml:space="preserve">. </w:t>
      </w:r>
      <w:r w:rsidRPr="00FF4E5D">
        <w:rPr>
          <w:lang w:val="en-US"/>
        </w:rPr>
        <w:t>The orphic diagram visualizes these functions, revealing deep connections between coefficients and symmetry properties. As demonstrated in [1] these diagrams provide a complete topological description of the tessellation</w:t>
      </w:r>
      <w:r>
        <w:rPr>
          <w:lang w:val="en-US"/>
        </w:rPr>
        <w:t>.</w:t>
      </w:r>
      <w:r w:rsidRPr="00FF4E5D">
        <w:rPr>
          <w:lang w:val="en-US"/>
        </w:rPr>
        <w:t xml:space="preserve"> </w:t>
      </w:r>
      <w:r w:rsidR="00A7222A" w:rsidRPr="00A7222A">
        <w:rPr>
          <w:lang w:val="en-US"/>
        </w:rPr>
        <w:t>Using decision tree classifiers, feature engineering, and a hierarchical framework, we have developed a method to classify most of the 17 wallpaper symmetry groups based solely on growth function coefficients. Our approach exploits mathematical properties, particularly divisibility relationships between coefficients, to separate symmetry groups with perfect accuracy.</w:t>
      </w:r>
      <w:r w:rsidR="000E505F">
        <w:rPr>
          <w:lang w:val="en-US"/>
        </w:rPr>
        <w:t xml:space="preserve"> </w:t>
      </w:r>
      <w:r w:rsidR="00A7222A" w:rsidRPr="00A7222A">
        <w:rPr>
          <w:lang w:val="en-US"/>
        </w:rPr>
        <w:t xml:space="preserve">The hierarchical classification begins with the most general group (p1) and progressively distinguishes groups with increasing symmetry complexity. By analyzing patterns in the coefficients, we identify rules that perfectly separate groups with different rotational, reflective, and glide symmetries. </w:t>
      </w:r>
      <w:r w:rsidR="00683942">
        <w:rPr>
          <w:lang w:val="en-US"/>
        </w:rPr>
        <w:t>Our computations were done systematically with the help of the computer package [2] and recently improved to an efficient version implemented in Julia package.</w:t>
      </w:r>
    </w:p>
    <w:p w14:paraId="574108B9" w14:textId="77777777" w:rsidR="00A7222A" w:rsidRPr="00A7222A" w:rsidRDefault="00A7222A" w:rsidP="00A7222A">
      <w:pPr>
        <w:pStyle w:val="Acknowledgement"/>
        <w:rPr>
          <w:lang w:val="en-US"/>
        </w:rPr>
      </w:pPr>
      <w:r w:rsidRPr="000E505F">
        <w:rPr>
          <w:lang w:val="pl-PL"/>
        </w:rPr>
        <w:t xml:space="preserve">[1] B. Naskręcki, J. Malinowski, Z. </w:t>
      </w:r>
      <w:proofErr w:type="spellStart"/>
      <w:r w:rsidRPr="000E505F">
        <w:rPr>
          <w:lang w:val="pl-PL"/>
        </w:rPr>
        <w:t>Dauter</w:t>
      </w:r>
      <w:proofErr w:type="spellEnd"/>
      <w:r w:rsidRPr="000E505F">
        <w:rPr>
          <w:lang w:val="pl-PL"/>
        </w:rPr>
        <w:t xml:space="preserve"> and M. Jaskólski. </w:t>
      </w:r>
      <w:r w:rsidRPr="00A7222A">
        <w:rPr>
          <w:lang w:val="en-US"/>
        </w:rPr>
        <w:t xml:space="preserve">Growth functions of periodic space tessellations. Acta </w:t>
      </w:r>
      <w:proofErr w:type="spellStart"/>
      <w:r w:rsidRPr="00A7222A">
        <w:rPr>
          <w:lang w:val="en-US"/>
        </w:rPr>
        <w:t>Crystallogr</w:t>
      </w:r>
      <w:proofErr w:type="spellEnd"/>
      <w:r w:rsidRPr="00A7222A">
        <w:rPr>
          <w:lang w:val="en-US"/>
        </w:rPr>
        <w:t>. A: Found. Adv., 81(1):64–81, 2025.</w:t>
      </w:r>
    </w:p>
    <w:p w14:paraId="74F8909F" w14:textId="77777777" w:rsidR="00A7222A" w:rsidRPr="00A7222A" w:rsidRDefault="00A7222A" w:rsidP="00A7222A">
      <w:pPr>
        <w:pStyle w:val="Acknowledgement"/>
        <w:rPr>
          <w:lang w:val="en-US"/>
        </w:rPr>
      </w:pPr>
      <w:r w:rsidRPr="00A7222A">
        <w:rPr>
          <w:lang w:val="en-US"/>
        </w:rPr>
        <w:t xml:space="preserve">[2] J. Malinowski, Z. </w:t>
      </w:r>
      <w:proofErr w:type="spellStart"/>
      <w:r w:rsidRPr="00A7222A">
        <w:rPr>
          <w:lang w:val="en-US"/>
        </w:rPr>
        <w:t>Dauter</w:t>
      </w:r>
      <w:proofErr w:type="spellEnd"/>
      <w:r w:rsidRPr="00A7222A">
        <w:rPr>
          <w:lang w:val="en-US"/>
        </w:rPr>
        <w:t>, B. Naskręcki. Orphic diagrams: Python package for computing growth functions of planar tessellations. Zenodo, 2022.</w:t>
      </w:r>
    </w:p>
    <w:p w14:paraId="7ED127C8" w14:textId="77777777" w:rsidR="00A7222A" w:rsidRPr="000E505F" w:rsidRDefault="00A7222A" w:rsidP="00A7222A">
      <w:pPr>
        <w:pStyle w:val="Acknowledgement"/>
        <w:rPr>
          <w:lang w:val="pl-PL"/>
        </w:rPr>
      </w:pPr>
      <w:r w:rsidRPr="00A7222A">
        <w:rPr>
          <w:lang w:val="en-US"/>
        </w:rPr>
        <w:t xml:space="preserve">[3] B. Naskręcki, M. Jaskólski, and Z. </w:t>
      </w:r>
      <w:proofErr w:type="spellStart"/>
      <w:r w:rsidRPr="00A7222A">
        <w:rPr>
          <w:lang w:val="en-US"/>
        </w:rPr>
        <w:t>Dauter</w:t>
      </w:r>
      <w:proofErr w:type="spellEnd"/>
      <w:r w:rsidRPr="00A7222A">
        <w:rPr>
          <w:lang w:val="en-US"/>
        </w:rPr>
        <w:t xml:space="preserve">. The Euler characteristic as a basis for teaching topology concepts to crystallographers. </w:t>
      </w:r>
      <w:r w:rsidRPr="000E505F">
        <w:rPr>
          <w:lang w:val="pl-PL"/>
        </w:rPr>
        <w:t xml:space="preserve">J. </w:t>
      </w:r>
      <w:proofErr w:type="spellStart"/>
      <w:r w:rsidRPr="000E505F">
        <w:rPr>
          <w:lang w:val="pl-PL"/>
        </w:rPr>
        <w:t>Appl</w:t>
      </w:r>
      <w:proofErr w:type="spellEnd"/>
      <w:r w:rsidRPr="000E505F">
        <w:rPr>
          <w:lang w:val="pl-PL"/>
        </w:rPr>
        <w:t xml:space="preserve">. </w:t>
      </w:r>
      <w:proofErr w:type="spellStart"/>
      <w:r w:rsidRPr="000E505F">
        <w:rPr>
          <w:lang w:val="pl-PL"/>
        </w:rPr>
        <w:t>Crystallogr</w:t>
      </w:r>
      <w:proofErr w:type="spellEnd"/>
      <w:r w:rsidRPr="000E505F">
        <w:rPr>
          <w:lang w:val="pl-PL"/>
        </w:rPr>
        <w:t>., 55(1):154–167, 2022.</w:t>
      </w:r>
    </w:p>
    <w:p w14:paraId="38F025CF" w14:textId="77777777" w:rsidR="00A7222A" w:rsidRPr="000E505F" w:rsidRDefault="00A7222A" w:rsidP="00A7222A">
      <w:pPr>
        <w:pStyle w:val="Acknowledgement"/>
        <w:rPr>
          <w:lang w:val="pl-PL"/>
        </w:rPr>
      </w:pPr>
      <w:r w:rsidRPr="000E505F">
        <w:rPr>
          <w:lang w:val="pl-PL"/>
        </w:rPr>
        <w:t xml:space="preserve">[4] B. Naskręcki, Z. </w:t>
      </w:r>
      <w:proofErr w:type="spellStart"/>
      <w:r w:rsidRPr="000E505F">
        <w:rPr>
          <w:lang w:val="pl-PL"/>
        </w:rPr>
        <w:t>Dauter</w:t>
      </w:r>
      <w:proofErr w:type="spellEnd"/>
      <w:r w:rsidRPr="000E505F">
        <w:rPr>
          <w:lang w:val="pl-PL"/>
        </w:rPr>
        <w:t xml:space="preserve">, and M. Jaskólski. </w:t>
      </w:r>
      <w:r w:rsidRPr="00A7222A">
        <w:rPr>
          <w:lang w:val="en-US"/>
        </w:rPr>
        <w:t xml:space="preserve">A topological proof of the modified Euler characteristic based on the orbifold concept. </w:t>
      </w:r>
      <w:r w:rsidRPr="000E505F">
        <w:rPr>
          <w:lang w:val="pl-PL"/>
        </w:rPr>
        <w:t xml:space="preserve">Acta </w:t>
      </w:r>
      <w:proofErr w:type="spellStart"/>
      <w:r w:rsidRPr="000E505F">
        <w:rPr>
          <w:lang w:val="pl-PL"/>
        </w:rPr>
        <w:t>Crystallogr</w:t>
      </w:r>
      <w:proofErr w:type="spellEnd"/>
      <w:r w:rsidRPr="000E505F">
        <w:rPr>
          <w:lang w:val="pl-PL"/>
        </w:rPr>
        <w:t>. A, 77(4):317–326, 2021.</w:t>
      </w:r>
    </w:p>
    <w:p w14:paraId="35AE67BE" w14:textId="4EF74AD2" w:rsidR="0098258A" w:rsidRPr="00A7222A" w:rsidRDefault="00A7222A" w:rsidP="0098258A">
      <w:pPr>
        <w:pStyle w:val="Acknowledgement"/>
        <w:rPr>
          <w:lang w:val="en-US"/>
        </w:rPr>
      </w:pPr>
      <w:r w:rsidRPr="000E505F">
        <w:rPr>
          <w:lang w:val="pl-PL"/>
        </w:rPr>
        <w:t xml:space="preserve">[5] B. Naskręcki, Z. </w:t>
      </w:r>
      <w:proofErr w:type="spellStart"/>
      <w:r w:rsidRPr="000E505F">
        <w:rPr>
          <w:lang w:val="pl-PL"/>
        </w:rPr>
        <w:t>Dauter</w:t>
      </w:r>
      <w:proofErr w:type="spellEnd"/>
      <w:r w:rsidRPr="000E505F">
        <w:rPr>
          <w:lang w:val="pl-PL"/>
        </w:rPr>
        <w:t xml:space="preserve">, and M. Jaskólski. </w:t>
      </w:r>
      <w:r w:rsidRPr="00A7222A">
        <w:rPr>
          <w:lang w:val="en-US"/>
        </w:rPr>
        <w:t xml:space="preserve">Arithmetic proof of the multiplicity-weighted Euler characteristic for symmetrically arranged space-filling </w:t>
      </w:r>
      <w:proofErr w:type="spellStart"/>
      <w:r w:rsidRPr="00A7222A">
        <w:rPr>
          <w:lang w:val="en-US"/>
        </w:rPr>
        <w:t>polyhedra</w:t>
      </w:r>
      <w:proofErr w:type="spellEnd"/>
      <w:r w:rsidRPr="00A7222A">
        <w:rPr>
          <w:lang w:val="en-US"/>
        </w:rPr>
        <w:t xml:space="preserve">. Acta </w:t>
      </w:r>
      <w:proofErr w:type="spellStart"/>
      <w:r w:rsidRPr="00A7222A">
        <w:rPr>
          <w:lang w:val="en-US"/>
        </w:rPr>
        <w:t>Crystallogr</w:t>
      </w:r>
      <w:proofErr w:type="spellEnd"/>
      <w:r w:rsidRPr="00A7222A">
        <w:rPr>
          <w:lang w:val="en-US"/>
        </w:rPr>
        <w:t>. A, 77(2):126–129, 2021.</w:t>
      </w:r>
    </w:p>
    <w:sectPr w:rsidR="0098258A" w:rsidRPr="00A7222A">
      <w:headerReference w:type="default" r:id="rId11"/>
      <w:footerReference w:type="default" r:id="rId12"/>
      <w:pgSz w:w="12240" w:h="15840"/>
      <w:pgMar w:top="765" w:right="720" w:bottom="765" w:left="720" w:header="708" w:footer="708" w:gutter="0"/>
      <w:cols w:space="708"/>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21680" w14:textId="77777777" w:rsidR="00A200F5" w:rsidRDefault="00A200F5">
      <w:pPr>
        <w:spacing w:after="0"/>
      </w:pPr>
      <w:r>
        <w:separator/>
      </w:r>
    </w:p>
  </w:endnote>
  <w:endnote w:type="continuationSeparator" w:id="0">
    <w:p w14:paraId="30236185" w14:textId="77777777" w:rsidR="00A200F5" w:rsidRDefault="00A200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roman"/>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FFD38" w14:textId="77777777" w:rsidR="00651235" w:rsidRDefault="00000000">
    <w:pPr>
      <w:pStyle w:val="Stopka"/>
    </w:pPr>
    <w:r>
      <w:t xml:space="preserve">Acta </w:t>
    </w:r>
    <w:proofErr w:type="spellStart"/>
    <w:r>
      <w:t>Cryst</w:t>
    </w:r>
    <w:proofErr w:type="spellEnd"/>
    <w:r>
      <w:t>. (2025). A81, e1</w:t>
    </w:r>
  </w:p>
  <w:p w14:paraId="74922E73" w14:textId="77777777" w:rsidR="00651235" w:rsidRDefault="00651235">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F35D8" w14:textId="77777777" w:rsidR="00A200F5" w:rsidRDefault="00A200F5">
      <w:pPr>
        <w:spacing w:after="0"/>
      </w:pPr>
      <w:r>
        <w:separator/>
      </w:r>
    </w:p>
  </w:footnote>
  <w:footnote w:type="continuationSeparator" w:id="0">
    <w:p w14:paraId="368166A4" w14:textId="77777777" w:rsidR="00A200F5" w:rsidRDefault="00A200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E890C" w14:textId="77777777" w:rsidR="00651235" w:rsidRDefault="00000000">
    <w:pPr>
      <w:tabs>
        <w:tab w:val="center" w:pos="4703"/>
        <w:tab w:val="right" w:pos="9406"/>
      </w:tabs>
    </w:pPr>
    <w:r>
      <w:rPr>
        <w:b/>
        <w:bCs/>
      </w:rPr>
      <w:t>MS</w:t>
    </w:r>
    <w:r>
      <w:tab/>
    </w:r>
    <w:proofErr w:type="spellStart"/>
    <w:r>
      <w:rPr>
        <w:b/>
        <w:bCs/>
      </w:rPr>
      <w:t>Microsymposium</w:t>
    </w:r>
    <w:proofErr w:type="spell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B65F2"/>
    <w:multiLevelType w:val="hybridMultilevel"/>
    <w:tmpl w:val="5F140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0DE7130"/>
    <w:multiLevelType w:val="hybridMultilevel"/>
    <w:tmpl w:val="5CA809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E4C1CA5"/>
    <w:multiLevelType w:val="hybridMultilevel"/>
    <w:tmpl w:val="37425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3BD23B9"/>
    <w:multiLevelType w:val="hybridMultilevel"/>
    <w:tmpl w:val="43B4C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3766955">
    <w:abstractNumId w:val="2"/>
  </w:num>
  <w:num w:numId="2" w16cid:durableId="2095197754">
    <w:abstractNumId w:val="0"/>
  </w:num>
  <w:num w:numId="3" w16cid:durableId="1229144879">
    <w:abstractNumId w:val="1"/>
  </w:num>
  <w:num w:numId="4" w16cid:durableId="1596671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doNotTrackMoves/>
  <w:defaultTabStop w:val="720"/>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1235"/>
    <w:rsid w:val="000E505F"/>
    <w:rsid w:val="001B536B"/>
    <w:rsid w:val="004E29B0"/>
    <w:rsid w:val="00536118"/>
    <w:rsid w:val="00651235"/>
    <w:rsid w:val="00683942"/>
    <w:rsid w:val="0098258A"/>
    <w:rsid w:val="00A200F5"/>
    <w:rsid w:val="00A7222A"/>
    <w:rsid w:val="00BC7A08"/>
    <w:rsid w:val="00F3390F"/>
    <w:rsid w:val="00FF4E5D"/>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239C0"/>
  <w15:docId w15:val="{7FA1BB82-D26B-DE4E-BB3E-6FFCC25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5275"/>
    <w:pPr>
      <w:suppressAutoHyphens/>
      <w:spacing w:after="120"/>
      <w:jc w:val="both"/>
    </w:pPr>
    <w:rPr>
      <w:lang w:val="en-GB" w:eastAsia="de-DE"/>
    </w:rPr>
  </w:style>
  <w:style w:type="paragraph" w:styleId="Nagwek1">
    <w:name w:val="heading 1"/>
    <w:basedOn w:val="Normalny"/>
    <w:next w:val="Nagwek2"/>
    <w:link w:val="Nagwek1Znak"/>
    <w:uiPriority w:val="99"/>
    <w:qFormat/>
    <w:rsid w:val="00925275"/>
    <w:pPr>
      <w:keepNext/>
      <w:spacing w:before="240" w:after="60"/>
      <w:jc w:val="center"/>
      <w:outlineLvl w:val="0"/>
    </w:pPr>
    <w:rPr>
      <w:rFonts w:ascii="Arial" w:hAnsi="Arial" w:cs="Arial"/>
      <w:b/>
      <w:bCs/>
      <w:kern w:val="2"/>
      <w:sz w:val="24"/>
      <w:szCs w:val="32"/>
    </w:rPr>
  </w:style>
  <w:style w:type="paragraph" w:styleId="Nagwek2">
    <w:name w:val="heading 2"/>
    <w:basedOn w:val="Normalny"/>
    <w:next w:val="Nagwek3"/>
    <w:link w:val="Nagwek2Znak"/>
    <w:uiPriority w:val="99"/>
    <w:qFormat/>
    <w:rsid w:val="00925275"/>
    <w:pPr>
      <w:keepNext/>
      <w:spacing w:before="240" w:after="240"/>
      <w:jc w:val="center"/>
      <w:outlineLvl w:val="1"/>
    </w:pPr>
    <w:rPr>
      <w:rFonts w:ascii="Arial" w:hAnsi="Arial" w:cs="Arial"/>
      <w:b/>
      <w:bCs/>
      <w:iCs/>
      <w:szCs w:val="28"/>
    </w:rPr>
  </w:style>
  <w:style w:type="paragraph" w:styleId="Nagwek3">
    <w:name w:val="heading 3"/>
    <w:basedOn w:val="Normalny"/>
    <w:next w:val="Normalny"/>
    <w:link w:val="Nagwek3Znak"/>
    <w:uiPriority w:val="99"/>
    <w:qFormat/>
    <w:rsid w:val="002E03DB"/>
    <w:pPr>
      <w:keepNext/>
      <w:jc w:val="center"/>
      <w:outlineLvl w:val="2"/>
    </w:pPr>
    <w:rPr>
      <w:bCs/>
      <w:i/>
      <w:szCs w:val="24"/>
      <w:lang w:eastAsia="cs-CZ"/>
    </w:rPr>
  </w:style>
  <w:style w:type="paragraph" w:styleId="Nagwek4">
    <w:name w:val="heading 4"/>
    <w:basedOn w:val="Normalny"/>
    <w:next w:val="Normalny"/>
    <w:link w:val="Nagwek4Znak"/>
    <w:uiPriority w:val="99"/>
    <w:qFormat/>
    <w:rsid w:val="00FF732E"/>
    <w:pPr>
      <w:keepNext/>
      <w:ind w:left="567" w:hanging="567"/>
      <w:outlineLvl w:val="3"/>
    </w:pPr>
    <w:rPr>
      <w:bCs/>
      <w:sz w:val="18"/>
      <w:szCs w:val="24"/>
      <w:lang w:eastAsia="cs-CZ"/>
    </w:rPr>
  </w:style>
  <w:style w:type="paragraph" w:styleId="Nagwek5">
    <w:name w:val="heading 5"/>
    <w:basedOn w:val="Nagwek6"/>
    <w:next w:val="Normalny"/>
    <w:link w:val="Nagwek5Znak"/>
    <w:uiPriority w:val="9"/>
    <w:unhideWhenUsed/>
    <w:qFormat/>
    <w:rsid w:val="00605A18"/>
    <w:pPr>
      <w:outlineLvl w:val="4"/>
    </w:pPr>
    <w:rPr>
      <w:b/>
    </w:rPr>
  </w:style>
  <w:style w:type="paragraph" w:styleId="Nagwek6">
    <w:name w:val="heading 6"/>
    <w:basedOn w:val="Normalny"/>
    <w:next w:val="Normalny"/>
    <w:link w:val="Nagwek6Znak"/>
    <w:uiPriority w:val="9"/>
    <w:unhideWhenUsed/>
    <w:qFormat/>
    <w:rsid w:val="00777DA8"/>
    <w:pPr>
      <w:spacing w:after="60"/>
      <w:jc w:val="center"/>
      <w:outlineLvl w:val="5"/>
    </w:pPr>
    <w:rPr>
      <w:bCs/>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qFormat/>
    <w:locked/>
    <w:rsid w:val="00925275"/>
    <w:rPr>
      <w:rFonts w:ascii="Arial" w:hAnsi="Arial" w:cs="Arial"/>
      <w:b/>
      <w:bCs/>
      <w:kern w:val="2"/>
      <w:sz w:val="24"/>
      <w:szCs w:val="32"/>
      <w:lang w:val="en-GB" w:eastAsia="de-DE"/>
    </w:rPr>
  </w:style>
  <w:style w:type="character" w:customStyle="1" w:styleId="Nagwek2Znak">
    <w:name w:val="Nagłówek 2 Znak"/>
    <w:link w:val="Nagwek2"/>
    <w:uiPriority w:val="99"/>
    <w:qFormat/>
    <w:locked/>
    <w:rsid w:val="00925275"/>
    <w:rPr>
      <w:rFonts w:ascii="Arial" w:hAnsi="Arial" w:cs="Arial"/>
      <w:b/>
      <w:bCs/>
      <w:iCs/>
      <w:sz w:val="22"/>
      <w:szCs w:val="28"/>
      <w:lang w:val="en-GB" w:eastAsia="de-DE"/>
    </w:rPr>
  </w:style>
  <w:style w:type="character" w:customStyle="1" w:styleId="Nagwek3Znak">
    <w:name w:val="Nagłówek 3 Znak"/>
    <w:link w:val="Nagwek3"/>
    <w:uiPriority w:val="99"/>
    <w:qFormat/>
    <w:locked/>
    <w:rsid w:val="002E03DB"/>
    <w:rPr>
      <w:bCs/>
      <w:i/>
      <w:sz w:val="22"/>
      <w:szCs w:val="24"/>
      <w:lang w:val="en-GB"/>
    </w:rPr>
  </w:style>
  <w:style w:type="character" w:customStyle="1" w:styleId="Nagwek4Znak">
    <w:name w:val="Nagłówek 4 Znak"/>
    <w:link w:val="Nagwek4"/>
    <w:uiPriority w:val="99"/>
    <w:qFormat/>
    <w:locked/>
    <w:rsid w:val="00FF732E"/>
    <w:rPr>
      <w:bCs/>
      <w:sz w:val="18"/>
      <w:szCs w:val="24"/>
      <w:lang w:val="en-GB"/>
    </w:rPr>
  </w:style>
  <w:style w:type="character" w:customStyle="1" w:styleId="HTML-adresZnak">
    <w:name w:val="HTML - adres Znak"/>
    <w:link w:val="HTML-adres"/>
    <w:uiPriority w:val="99"/>
    <w:semiHidden/>
    <w:qFormat/>
    <w:rsid w:val="005E6DCD"/>
    <w:rPr>
      <w:i/>
      <w:iCs/>
      <w:lang w:val="de-DE" w:eastAsia="de-DE"/>
    </w:rPr>
  </w:style>
  <w:style w:type="character" w:customStyle="1" w:styleId="Nagwek5Znak">
    <w:name w:val="Nagłówek 5 Znak"/>
    <w:link w:val="Nagwek5"/>
    <w:uiPriority w:val="9"/>
    <w:qFormat/>
    <w:rsid w:val="00605A18"/>
    <w:rPr>
      <w:b/>
      <w:bCs/>
      <w:szCs w:val="22"/>
      <w:lang w:val="en-GB" w:eastAsia="de-DE"/>
    </w:rPr>
  </w:style>
  <w:style w:type="character" w:customStyle="1" w:styleId="Nagwek6Znak">
    <w:name w:val="Nagłówek 6 Znak"/>
    <w:link w:val="Nagwek6"/>
    <w:uiPriority w:val="9"/>
    <w:qFormat/>
    <w:rsid w:val="00777DA8"/>
    <w:rPr>
      <w:rFonts w:eastAsia="Times New Roman" w:cs="Times New Roman"/>
      <w:bCs/>
      <w:szCs w:val="22"/>
      <w:lang w:val="de-DE" w:eastAsia="de-DE"/>
    </w:rPr>
  </w:style>
  <w:style w:type="character" w:customStyle="1" w:styleId="NagwekZnak">
    <w:name w:val="Nagłówek Znak"/>
    <w:link w:val="Nagwek"/>
    <w:uiPriority w:val="99"/>
    <w:qFormat/>
    <w:rsid w:val="00D13351"/>
    <w:rPr>
      <w:lang w:val="en-GB" w:eastAsia="de-DE"/>
    </w:rPr>
  </w:style>
  <w:style w:type="character" w:customStyle="1" w:styleId="StopkaZnak">
    <w:name w:val="Stopka Znak"/>
    <w:link w:val="Stopka"/>
    <w:uiPriority w:val="99"/>
    <w:qFormat/>
    <w:rsid w:val="00D13351"/>
    <w:rPr>
      <w:lang w:val="en-GB" w:eastAsia="de-DE"/>
    </w:rPr>
  </w:style>
  <w:style w:type="character" w:customStyle="1" w:styleId="TekstdymkaZnak">
    <w:name w:val="Tekst dymka Znak"/>
    <w:link w:val="Tekstdymka"/>
    <w:uiPriority w:val="99"/>
    <w:semiHidden/>
    <w:qFormat/>
    <w:rsid w:val="00C64DBE"/>
    <w:rPr>
      <w:rFonts w:ascii="Tahoma" w:hAnsi="Tahoma" w:cs="Tahoma"/>
      <w:sz w:val="16"/>
      <w:szCs w:val="16"/>
      <w:lang w:val="en-GB" w:eastAsia="de-DE"/>
    </w:rPr>
  </w:style>
  <w:style w:type="paragraph" w:customStyle="1" w:styleId="Heading">
    <w:name w:val="Heading"/>
    <w:basedOn w:val="Normalny"/>
    <w:next w:val="Tekstpodstawowy"/>
    <w:qFormat/>
    <w:pPr>
      <w:keepNext/>
      <w:spacing w:before="240"/>
    </w:pPr>
    <w:rPr>
      <w:rFonts w:ascii="Liberation Sans" w:eastAsia="Noto Sans CJK SC" w:hAnsi="Liberation Sans" w:cs="Lohit Devanagari"/>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ohit Devanagari"/>
    </w:rPr>
  </w:style>
  <w:style w:type="paragraph" w:styleId="Legenda">
    <w:name w:val="caption"/>
    <w:basedOn w:val="Normalny"/>
    <w:qFormat/>
    <w:pPr>
      <w:suppressLineNumbers/>
      <w:spacing w:before="120"/>
    </w:pPr>
    <w:rPr>
      <w:rFonts w:cs="Lohit Devanagari"/>
      <w:i/>
      <w:iCs/>
      <w:sz w:val="24"/>
      <w:szCs w:val="24"/>
    </w:rPr>
  </w:style>
  <w:style w:type="paragraph" w:customStyle="1" w:styleId="Index">
    <w:name w:val="Index"/>
    <w:basedOn w:val="Normalny"/>
    <w:qFormat/>
    <w:pPr>
      <w:suppressLineNumbers/>
    </w:pPr>
    <w:rPr>
      <w:rFonts w:cs="Lohit Devanagari"/>
    </w:rPr>
  </w:style>
  <w:style w:type="paragraph" w:customStyle="1" w:styleId="Acknowledgement">
    <w:name w:val="Acknowledgement"/>
    <w:basedOn w:val="Normalny"/>
    <w:qFormat/>
    <w:rsid w:val="00777DA8"/>
    <w:rPr>
      <w:i/>
    </w:rPr>
  </w:style>
  <w:style w:type="paragraph" w:styleId="HTML-adres">
    <w:name w:val="HTML Address"/>
    <w:basedOn w:val="Normalny"/>
    <w:link w:val="HTML-adresZnak"/>
    <w:uiPriority w:val="99"/>
    <w:semiHidden/>
    <w:unhideWhenUsed/>
    <w:qFormat/>
    <w:rsid w:val="005E6DCD"/>
    <w:rPr>
      <w:i/>
      <w:iCs/>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D13351"/>
    <w:pPr>
      <w:tabs>
        <w:tab w:val="center" w:pos="4536"/>
        <w:tab w:val="right" w:pos="9072"/>
      </w:tabs>
    </w:pPr>
  </w:style>
  <w:style w:type="paragraph" w:styleId="Stopka">
    <w:name w:val="footer"/>
    <w:basedOn w:val="Normalny"/>
    <w:link w:val="StopkaZnak"/>
    <w:uiPriority w:val="99"/>
    <w:unhideWhenUsed/>
    <w:rsid w:val="00D13351"/>
    <w:pPr>
      <w:tabs>
        <w:tab w:val="center" w:pos="4536"/>
        <w:tab w:val="right" w:pos="9072"/>
      </w:tabs>
    </w:pPr>
  </w:style>
  <w:style w:type="paragraph" w:styleId="Tekstdymka">
    <w:name w:val="Balloon Text"/>
    <w:basedOn w:val="Normalny"/>
    <w:link w:val="TekstdymkaZnak"/>
    <w:uiPriority w:val="99"/>
    <w:semiHidden/>
    <w:unhideWhenUsed/>
    <w:qFormat/>
    <w:rsid w:val="00C64DBE"/>
    <w:pPr>
      <w:spacing w:after="0"/>
    </w:pPr>
    <w:rPr>
      <w:rFonts w:ascii="Tahoma" w:hAnsi="Tahoma" w:cs="Tahoma"/>
      <w:sz w:val="16"/>
      <w:szCs w:val="16"/>
    </w:rPr>
  </w:style>
  <w:style w:type="table" w:styleId="Tabela-Siatka">
    <w:name w:val="Table Grid"/>
    <w:basedOn w:val="Standardowy"/>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rsid w:val="00683942"/>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551</Words>
  <Characters>3142</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Materials Structure</vt:lpstr>
    </vt:vector>
  </TitlesOfParts>
  <Company>MFF UK</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Bartosz Naskręcki</cp:lastModifiedBy>
  <cp:revision>21</cp:revision>
  <dcterms:created xsi:type="dcterms:W3CDTF">2019-09-04T15:26:00Z</dcterms:created>
  <dcterms:modified xsi:type="dcterms:W3CDTF">2025-06-02T23:38:00Z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