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5002" w14:textId="7D73EC87" w:rsidR="00070B5F" w:rsidRDefault="00C962D0">
      <w:pPr>
        <w:pStyle w:val="Heading1"/>
      </w:pPr>
      <w:r w:rsidRPr="00C962D0">
        <w:t>Back to morphology: streamlined modelling of crystals' growth from solutions</w:t>
      </w:r>
    </w:p>
    <w:p w14:paraId="5E39440D" w14:textId="0063B50E" w:rsidR="00070B5F" w:rsidRPr="00DF092D" w:rsidRDefault="00201F86">
      <w:pPr>
        <w:pStyle w:val="Heading2"/>
      </w:pPr>
      <w:r>
        <w:t>Y. Vaksler</w:t>
      </w:r>
      <w:r w:rsidR="00FB086D">
        <w:rPr>
          <w:vertAlign w:val="superscript"/>
        </w:rPr>
        <w:t>1</w:t>
      </w:r>
      <w:r w:rsidR="00B47D31">
        <w:rPr>
          <w:vertAlign w:val="superscript"/>
        </w:rPr>
        <w:t>*</w:t>
      </w:r>
      <w:r w:rsidR="00FB086D">
        <w:t xml:space="preserve">, </w:t>
      </w:r>
      <w:r>
        <w:t>F. Ngono Mebenga</w:t>
      </w:r>
      <w:r>
        <w:rPr>
          <w:vertAlign w:val="superscript"/>
        </w:rPr>
        <w:t>1</w:t>
      </w:r>
      <w:r>
        <w:t>, C. Xiouras</w:t>
      </w:r>
      <w:r w:rsidR="00FB086D">
        <w:rPr>
          <w:vertAlign w:val="superscript"/>
        </w:rPr>
        <w:t>1</w:t>
      </w:r>
      <w:r w:rsidR="00DF092D">
        <w:t>, P. Fernandes</w:t>
      </w:r>
      <w:r w:rsidR="00DF092D" w:rsidRPr="00DF092D">
        <w:rPr>
          <w:vertAlign w:val="superscript"/>
        </w:rPr>
        <w:t>1</w:t>
      </w:r>
    </w:p>
    <w:p w14:paraId="1BA51940" w14:textId="0A3EF082" w:rsidR="00C611AB" w:rsidRDefault="00FB086D" w:rsidP="00C611AB">
      <w:pPr>
        <w:pStyle w:val="Heading3"/>
        <w:spacing w:after="0"/>
        <w:rPr>
          <w:lang w:val="en-US"/>
        </w:rPr>
      </w:pPr>
      <w:r>
        <w:rPr>
          <w:vertAlign w:val="superscript"/>
        </w:rPr>
        <w:t>1</w:t>
      </w:r>
      <w:r w:rsidR="00C611AB" w:rsidRPr="00C611AB">
        <w:rPr>
          <w:lang w:val="en-US"/>
        </w:rPr>
        <w:t xml:space="preserve">Janssen Research and Development, Pharmaceutical and </w:t>
      </w:r>
      <w:r w:rsidR="00C611AB">
        <w:rPr>
          <w:lang w:val="en-US"/>
        </w:rPr>
        <w:t>M</w:t>
      </w:r>
      <w:r w:rsidR="00C611AB" w:rsidRPr="00C611AB">
        <w:rPr>
          <w:lang w:val="en-US"/>
        </w:rPr>
        <w:t xml:space="preserve">aterial </w:t>
      </w:r>
      <w:r w:rsidR="00C611AB">
        <w:rPr>
          <w:lang w:val="en-US"/>
        </w:rPr>
        <w:t>S</w:t>
      </w:r>
      <w:r w:rsidR="00C611AB" w:rsidRPr="00C611AB">
        <w:rPr>
          <w:lang w:val="en-US"/>
        </w:rPr>
        <w:t>ciences (PM&amp;S),</w:t>
      </w:r>
    </w:p>
    <w:p w14:paraId="55F49311" w14:textId="49B764DC" w:rsidR="00070B5F" w:rsidRPr="00C611AB" w:rsidRDefault="00C611AB" w:rsidP="00C611AB">
      <w:pPr>
        <w:pStyle w:val="Heading3"/>
        <w:rPr>
          <w:lang w:val="en-US"/>
        </w:rPr>
      </w:pPr>
      <w:r w:rsidRPr="00C611AB">
        <w:rPr>
          <w:lang w:val="en-US"/>
        </w:rPr>
        <w:t>Janssen Pharmaceutical Companies of Johnson &amp; Johnson, 2340 Beerse, Belgium</w:t>
      </w:r>
    </w:p>
    <w:p w14:paraId="22BAE60B" w14:textId="0AE54755" w:rsidR="00070B5F" w:rsidRPr="00192556" w:rsidRDefault="00B47D31">
      <w:pPr>
        <w:pStyle w:val="Heading3"/>
        <w:rPr>
          <w:sz w:val="18"/>
          <w:szCs w:val="18"/>
          <w:lang w:val="en-US"/>
        </w:rPr>
      </w:pPr>
      <w:r w:rsidRPr="00192556">
        <w:rPr>
          <w:lang w:val="en-US"/>
        </w:rPr>
        <w:t xml:space="preserve">* </w:t>
      </w:r>
      <w:r>
        <w:t>yvaksler</w:t>
      </w:r>
      <w:r w:rsidRPr="00192556">
        <w:rPr>
          <w:lang w:val="en-US"/>
        </w:rPr>
        <w:t>@</w:t>
      </w:r>
      <w:r>
        <w:t>its</w:t>
      </w:r>
      <w:r w:rsidRPr="00192556">
        <w:rPr>
          <w:lang w:val="en-US"/>
        </w:rPr>
        <w:t>.</w:t>
      </w:r>
      <w:r>
        <w:t>jnj</w:t>
      </w:r>
      <w:r w:rsidRPr="00192556">
        <w:rPr>
          <w:lang w:val="en-US"/>
        </w:rPr>
        <w:t>.</w:t>
      </w:r>
      <w:r>
        <w:t>com</w:t>
      </w:r>
      <w:r w:rsidR="00FB086D" w:rsidRPr="00192556">
        <w:rPr>
          <w:lang w:val="en-US" w:eastAsia="de-DE"/>
        </w:rPr>
        <w:br/>
      </w:r>
    </w:p>
    <w:p w14:paraId="25F968A3" w14:textId="17D0B947" w:rsidR="0080009C" w:rsidRDefault="00945E9A" w:rsidP="0080009C">
      <w:pPr>
        <w:rPr>
          <w:lang w:val="en-US"/>
        </w:rPr>
      </w:pPr>
      <w:r w:rsidRPr="00945E9A">
        <w:rPr>
          <w:lang w:val="en-US"/>
        </w:rPr>
        <w:t>For a long time, modeling of crystal morphology was of low importance in production and lagged behind the experimental study due to several factors</w:t>
      </w:r>
      <w:r>
        <w:rPr>
          <w:lang w:val="en-US"/>
        </w:rPr>
        <w:t>.</w:t>
      </w:r>
      <w:r w:rsidRPr="00945E9A">
        <w:rPr>
          <w:lang w:val="en-US"/>
        </w:rPr>
        <w:t xml:space="preserve"> Firstly, modeling of crystal</w:t>
      </w:r>
      <w:r>
        <w:rPr>
          <w:lang w:val="en-US"/>
        </w:rPr>
        <w:t>s’</w:t>
      </w:r>
      <w:r w:rsidRPr="00945E9A">
        <w:rPr>
          <w:lang w:val="en-US"/>
        </w:rPr>
        <w:t xml:space="preserve"> morphology requires the availability of </w:t>
      </w:r>
      <w:r>
        <w:rPr>
          <w:lang w:val="en-US"/>
        </w:rPr>
        <w:t xml:space="preserve">their </w:t>
      </w:r>
      <w:r w:rsidRPr="00945E9A">
        <w:rPr>
          <w:lang w:val="en-US"/>
        </w:rPr>
        <w:t>already studied structure</w:t>
      </w:r>
      <w:r>
        <w:rPr>
          <w:lang w:val="en-US"/>
        </w:rPr>
        <w:t>s</w:t>
      </w:r>
      <w:r w:rsidRPr="00945E9A">
        <w:rPr>
          <w:lang w:val="en-US"/>
        </w:rPr>
        <w:t>. Secondly, the brut</w:t>
      </w:r>
      <w:r>
        <w:rPr>
          <w:lang w:val="en-US"/>
        </w:rPr>
        <w:t>e</w:t>
      </w:r>
      <w:r w:rsidRPr="00945E9A">
        <w:rPr>
          <w:lang w:val="en-US"/>
        </w:rPr>
        <w:t xml:space="preserve"> force approach to </w:t>
      </w:r>
      <w:r>
        <w:rPr>
          <w:lang w:val="en-US"/>
        </w:rPr>
        <w:t>find all of the existing faces</w:t>
      </w:r>
      <w:r w:rsidRPr="00945E9A">
        <w:rPr>
          <w:lang w:val="en-US"/>
        </w:rPr>
        <w:t xml:space="preserve"> involves</w:t>
      </w:r>
      <w:r>
        <w:rPr>
          <w:lang w:val="en-US"/>
        </w:rPr>
        <w:t xml:space="preserve"> </w:t>
      </w:r>
      <w:r w:rsidRPr="00945E9A">
        <w:rPr>
          <w:lang w:val="en-US"/>
        </w:rPr>
        <w:t>obtaining attachment energ</w:t>
      </w:r>
      <w:r>
        <w:rPr>
          <w:lang w:val="en-US"/>
        </w:rPr>
        <w:t>ies</w:t>
      </w:r>
      <w:r w:rsidRPr="00945E9A">
        <w:rPr>
          <w:lang w:val="en-US"/>
        </w:rPr>
        <w:t xml:space="preserve"> for a significant number of layers</w:t>
      </w:r>
      <w:r w:rsidR="00636F74">
        <w:rPr>
          <w:lang w:val="en-US"/>
        </w:rPr>
        <w:t xml:space="preserve"> is quite slow</w:t>
      </w:r>
      <w:r>
        <w:rPr>
          <w:lang w:val="en-US"/>
        </w:rPr>
        <w:t xml:space="preserve">. </w:t>
      </w:r>
      <w:r w:rsidR="00636F74">
        <w:rPr>
          <w:lang w:val="en-US"/>
        </w:rPr>
        <w:t>Calculations are therefore performed on a limit</w:t>
      </w:r>
      <w:r w:rsidR="00192556">
        <w:rPr>
          <w:lang w:val="en-US"/>
        </w:rPr>
        <w:t>ed</w:t>
      </w:r>
      <w:r w:rsidR="00636F74">
        <w:rPr>
          <w:lang w:val="en-US"/>
        </w:rPr>
        <w:t xml:space="preserve"> set of Miller indices</w:t>
      </w:r>
      <w:r w:rsidR="00192556">
        <w:rPr>
          <w:lang w:val="en-US"/>
        </w:rPr>
        <w:t xml:space="preserve"> and</w:t>
      </w:r>
      <w:r w:rsidR="005B7F2C">
        <w:rPr>
          <w:lang w:val="en-US"/>
        </w:rPr>
        <w:t xml:space="preserve"> </w:t>
      </w:r>
      <w:r w:rsidR="00192556">
        <w:rPr>
          <w:lang w:val="en-US"/>
        </w:rPr>
        <w:t xml:space="preserve">require </w:t>
      </w:r>
      <w:r w:rsidR="005B7F2C">
        <w:rPr>
          <w:lang w:val="en-US"/>
        </w:rPr>
        <w:t>averaging of the distribution of interaction energies over the layers</w:t>
      </w:r>
      <w:r w:rsidR="00192556">
        <w:rPr>
          <w:lang w:val="en-US"/>
        </w:rPr>
        <w:t xml:space="preserve"> ignoring their distribution</w:t>
      </w:r>
      <w:r w:rsidR="005B7F2C">
        <w:rPr>
          <w:lang w:val="en-US"/>
        </w:rPr>
        <w:t xml:space="preserve">. </w:t>
      </w:r>
      <w:r w:rsidR="0080009C">
        <w:rPr>
          <w:lang w:val="en-US"/>
        </w:rPr>
        <w:t xml:space="preserve">It makes crystals’ </w:t>
      </w:r>
      <w:r w:rsidR="0080009C" w:rsidRPr="00945E9A">
        <w:rPr>
          <w:lang w:val="en-US"/>
        </w:rPr>
        <w:t>habit</w:t>
      </w:r>
      <w:r w:rsidR="0080009C">
        <w:rPr>
          <w:lang w:val="en-US"/>
        </w:rPr>
        <w:t>s</w:t>
      </w:r>
      <w:r w:rsidR="0080009C" w:rsidRPr="00945E9A">
        <w:rPr>
          <w:lang w:val="en-US"/>
        </w:rPr>
        <w:t xml:space="preserve"> and Miller indices of faces</w:t>
      </w:r>
      <w:r w:rsidR="0080009C">
        <w:rPr>
          <w:lang w:val="en-US"/>
        </w:rPr>
        <w:t xml:space="preserve"> the achievable goals instead of </w:t>
      </w:r>
      <w:r w:rsidR="0080009C" w:rsidRPr="00945E9A">
        <w:rPr>
          <w:lang w:val="en-US"/>
        </w:rPr>
        <w:t>the</w:t>
      </w:r>
      <w:r w:rsidR="0080009C">
        <w:rPr>
          <w:lang w:val="en-US"/>
        </w:rPr>
        <w:t>ir</w:t>
      </w:r>
      <w:r w:rsidR="0080009C" w:rsidRPr="00945E9A">
        <w:rPr>
          <w:lang w:val="en-US"/>
        </w:rPr>
        <w:t xml:space="preserve"> morpholog</w:t>
      </w:r>
      <w:r w:rsidR="0080009C">
        <w:rPr>
          <w:lang w:val="en-US"/>
        </w:rPr>
        <w:t>ies</w:t>
      </w:r>
      <w:r w:rsidR="0080009C" w:rsidRPr="00945E9A">
        <w:rPr>
          <w:lang w:val="en-US"/>
        </w:rPr>
        <w:t xml:space="preserve"> and </w:t>
      </w:r>
      <w:r w:rsidR="0080009C">
        <w:rPr>
          <w:lang w:val="en-US"/>
        </w:rPr>
        <w:t xml:space="preserve">outlooks. </w:t>
      </w:r>
      <w:r w:rsidR="0080009C" w:rsidRPr="00945E9A">
        <w:rPr>
          <w:lang w:val="en-US"/>
        </w:rPr>
        <w:t>Finally,</w:t>
      </w:r>
      <w:r w:rsidR="0080009C">
        <w:rPr>
          <w:lang w:val="en-US"/>
        </w:rPr>
        <w:t xml:space="preserve"> the </w:t>
      </w:r>
      <w:r w:rsidR="0080009C" w:rsidRPr="00945E9A">
        <w:rPr>
          <w:lang w:val="en-US"/>
        </w:rPr>
        <w:t xml:space="preserve">modeling </w:t>
      </w:r>
      <w:r w:rsidR="0080009C">
        <w:rPr>
          <w:lang w:val="en-US"/>
        </w:rPr>
        <w:t xml:space="preserve">of </w:t>
      </w:r>
      <w:r w:rsidR="0080009C" w:rsidRPr="00945E9A">
        <w:rPr>
          <w:lang w:val="en-US"/>
        </w:rPr>
        <w:t xml:space="preserve">crystal growth from solutions </w:t>
      </w:r>
      <w:r w:rsidR="0080009C">
        <w:rPr>
          <w:lang w:val="en-US"/>
        </w:rPr>
        <w:t>with</w:t>
      </w:r>
      <w:r w:rsidR="0080009C" w:rsidRPr="00945E9A">
        <w:rPr>
          <w:lang w:val="en-US"/>
        </w:rPr>
        <w:t xml:space="preserve"> classical methods is rather stochastic in nature and requires large investments and significant user knowledge.</w:t>
      </w:r>
      <w:r w:rsidR="0080009C">
        <w:rPr>
          <w:lang w:val="en-US"/>
        </w:rPr>
        <w:t xml:space="preserve"> </w:t>
      </w:r>
      <w:r w:rsidR="00F333F8" w:rsidRPr="00945E9A">
        <w:rPr>
          <w:lang w:val="en-US"/>
        </w:rPr>
        <w:t>We propose an approach that finally make</w:t>
      </w:r>
      <w:r w:rsidR="00F333F8">
        <w:rPr>
          <w:lang w:val="en-US"/>
        </w:rPr>
        <w:t>s</w:t>
      </w:r>
      <w:r w:rsidR="00F333F8" w:rsidRPr="00945E9A">
        <w:rPr>
          <w:lang w:val="en-US"/>
        </w:rPr>
        <w:t xml:space="preserve"> such </w:t>
      </w:r>
      <w:r w:rsidR="00F333F8">
        <w:rPr>
          <w:lang w:val="en-US"/>
        </w:rPr>
        <w:t>simulations</w:t>
      </w:r>
      <w:r w:rsidR="00F333F8" w:rsidRPr="00945E9A">
        <w:rPr>
          <w:lang w:val="en-US"/>
        </w:rPr>
        <w:t xml:space="preserve"> fast, simple and effective to a degree sufficient for their practical use.</w:t>
      </w:r>
    </w:p>
    <w:p w14:paraId="5979CDDF" w14:textId="032ECFD6" w:rsidR="00362136" w:rsidRPr="0080009C" w:rsidRDefault="0080009C" w:rsidP="00892ED1">
      <w:pPr>
        <w:rPr>
          <w:lang w:val="en-US"/>
        </w:rPr>
      </w:pPr>
      <w:r w:rsidRPr="0080009C">
        <w:rPr>
          <w:lang w:val="en-US"/>
        </w:rPr>
        <w:t xml:space="preserve">Our research is based on the model MONTY in the CrystalGrower implementation [1-2]. This model considers crystal growth as a process of random sequential acts of attachment and detachment of individual molecules. </w:t>
      </w:r>
      <w:r w:rsidR="00F333F8" w:rsidRPr="00F333F8">
        <w:rPr>
          <w:lang w:val="en-US"/>
        </w:rPr>
        <w:t xml:space="preserve">The probabilities of such acts are calculated from the relative gain in energy due to the formation or destruction of sites, i.e. potential positions of molecules with a unique set of neighbors that are consistent with an experimental crystal structure or one obtained via CSP. </w:t>
      </w:r>
      <w:r>
        <w:rPr>
          <w:lang w:val="en-US"/>
        </w:rPr>
        <w:t>These</w:t>
      </w:r>
      <w:r w:rsidRPr="0080009C">
        <w:rPr>
          <w:lang w:val="en-US"/>
        </w:rPr>
        <w:t xml:space="preserve"> gain</w:t>
      </w:r>
      <w:r>
        <w:rPr>
          <w:lang w:val="en-US"/>
        </w:rPr>
        <w:t>s</w:t>
      </w:r>
      <w:r w:rsidRPr="0080009C">
        <w:rPr>
          <w:lang w:val="en-US"/>
        </w:rPr>
        <w:t xml:space="preserve"> </w:t>
      </w:r>
      <w:r>
        <w:rPr>
          <w:lang w:val="en-US"/>
        </w:rPr>
        <w:t>are</w:t>
      </w:r>
      <w:r w:rsidRPr="0080009C">
        <w:rPr>
          <w:lang w:val="en-US"/>
        </w:rPr>
        <w:t xml:space="preserve"> calculated from sets of pairwise interaction energies</w:t>
      </w:r>
      <w:r w:rsidR="00533222">
        <w:rPr>
          <w:lang w:val="en-US"/>
        </w:rPr>
        <w:t xml:space="preserve"> (</w:t>
      </w:r>
      <w:r w:rsidR="00533222" w:rsidRPr="00533222">
        <w:rPr>
          <w:lang w:val="en-US"/>
        </w:rPr>
        <w:t>B97D3/cc-pVDZ</w:t>
      </w:r>
      <w:r w:rsidR="00533222">
        <w:rPr>
          <w:lang w:val="en-US"/>
        </w:rPr>
        <w:t>)</w:t>
      </w:r>
      <w:r w:rsidRPr="0080009C">
        <w:rPr>
          <w:lang w:val="en-US"/>
        </w:rPr>
        <w:t xml:space="preserve"> of the site molecule with its neighbors and do not require </w:t>
      </w:r>
      <w:r w:rsidR="00520BA3">
        <w:rPr>
          <w:lang w:val="en-US"/>
        </w:rPr>
        <w:t xml:space="preserve">any </w:t>
      </w:r>
      <w:r w:rsidRPr="0080009C">
        <w:rPr>
          <w:lang w:val="en-US"/>
        </w:rPr>
        <w:t>cumbersome calculations: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  <w:gridCol w:w="450"/>
      </w:tblGrid>
      <w:tr w:rsidR="00487BD7" w14:paraId="07240E1B" w14:textId="77777777" w:rsidTr="00932FE3">
        <w:tc>
          <w:tcPr>
            <w:tcW w:w="10566" w:type="dxa"/>
            <w:vAlign w:val="center"/>
          </w:tcPr>
          <w:p w14:paraId="07991EED" w14:textId="4D917B97" w:rsidR="00487BD7" w:rsidRPr="00226D78" w:rsidRDefault="00000000" w:rsidP="00487BD7">
            <w:pPr>
              <w:jc w:val="center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Calibri"/>
                        <w:i/>
                        <w:kern w:val="2"/>
                        <w:sz w:val="24"/>
                        <w:szCs w:val="24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attachment</m:t>
                    </m:r>
                  </m:sup>
                </m:sSubSup>
                <m:r>
                  <w:rPr>
                    <w:rFonts w:ascii="Cambria Math" w:hAnsi="Cambria Math"/>
                  </w:rPr>
                  <m:t>=exp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Calibri"/>
                        <w:i/>
                        <w:kern w:val="2"/>
                        <w:sz w:val="24"/>
                        <w:szCs w:val="24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-0.5</m:t>
                    </m:r>
                    <m:d>
                      <m:dPr>
                        <m:ctrlPr>
                          <w:rPr>
                            <w:rFonts w:ascii="Cambria Math" w:eastAsia="Calibri" w:hAnsi="Cambria Math" w:cs="Calibri"/>
                            <w:i/>
                            <w:kern w:val="2"/>
                            <w:sz w:val="24"/>
                            <w:szCs w:val="24"/>
                            <w:lang w:val="en-US"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kern w:val="2"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kern w:val="2"/>
                                    <w:sz w:val="24"/>
                                    <w:szCs w:val="24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kT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+0.5</m:t>
                    </m:r>
                    <m:d>
                      <m:dPr>
                        <m:ctrlPr>
                          <w:rPr>
                            <w:rFonts w:ascii="Cambria Math" w:eastAsia="Calibri" w:hAnsi="Cambria Math" w:cs="Calibri"/>
                            <w:i/>
                            <w:kern w:val="2"/>
                            <w:sz w:val="24"/>
                            <w:szCs w:val="24"/>
                            <w:lang w:val="en-US"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kern w:val="2"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Δμ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kT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  <w:tc>
          <w:tcPr>
            <w:tcW w:w="450" w:type="dxa"/>
            <w:vAlign w:val="center"/>
          </w:tcPr>
          <w:p w14:paraId="1844169C" w14:textId="1A01BF6F" w:rsidR="00487BD7" w:rsidRDefault="00487BD7" w:rsidP="00487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</w:tr>
      <w:tr w:rsidR="00487BD7" w14:paraId="33485B65" w14:textId="77777777" w:rsidTr="00932FE3">
        <w:tc>
          <w:tcPr>
            <w:tcW w:w="10566" w:type="dxa"/>
            <w:vAlign w:val="center"/>
          </w:tcPr>
          <w:p w14:paraId="0D3DD477" w14:textId="2A140C87" w:rsidR="00487BD7" w:rsidRPr="00226D78" w:rsidRDefault="00000000" w:rsidP="00487BD7">
            <w:pPr>
              <w:jc w:val="center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Calibri"/>
                        <w:i/>
                        <w:kern w:val="2"/>
                        <w:sz w:val="24"/>
                        <w:szCs w:val="24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detachment</m:t>
                    </m:r>
                  </m:sup>
                </m:sSubSup>
                <m:r>
                  <w:rPr>
                    <w:rFonts w:ascii="Cambria Math" w:hAnsi="Cambria Math"/>
                  </w:rPr>
                  <m:t>=exp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Calibri"/>
                        <w:i/>
                        <w:kern w:val="2"/>
                        <w:sz w:val="24"/>
                        <w:szCs w:val="24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0.5</m:t>
                    </m:r>
                    <m:d>
                      <m:dPr>
                        <m:ctrlPr>
                          <w:rPr>
                            <w:rFonts w:ascii="Cambria Math" w:eastAsia="Calibri" w:hAnsi="Cambria Math" w:cs="Calibri"/>
                            <w:i/>
                            <w:kern w:val="2"/>
                            <w:sz w:val="24"/>
                            <w:szCs w:val="24"/>
                            <w:lang w:val="en-US"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kern w:val="2"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kern w:val="2"/>
                                    <w:sz w:val="24"/>
                                    <w:szCs w:val="24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kT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-0.5</m:t>
                    </m:r>
                    <m:d>
                      <m:dPr>
                        <m:ctrlPr>
                          <w:rPr>
                            <w:rFonts w:ascii="Cambria Math" w:eastAsia="Calibri" w:hAnsi="Cambria Math" w:cs="Calibri"/>
                            <w:i/>
                            <w:kern w:val="2"/>
                            <w:sz w:val="24"/>
                            <w:szCs w:val="24"/>
                            <w:lang w:val="en-US"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kern w:val="2"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Δμ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kT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  <w:tc>
          <w:tcPr>
            <w:tcW w:w="450" w:type="dxa"/>
            <w:vAlign w:val="center"/>
          </w:tcPr>
          <w:p w14:paraId="180C849E" w14:textId="0101D3AE" w:rsidR="00487BD7" w:rsidRDefault="00487BD7" w:rsidP="00487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</w:tr>
    </w:tbl>
    <w:p w14:paraId="750D1AE3" w14:textId="54AE920A" w:rsidR="00487BD7" w:rsidRDefault="0080009C" w:rsidP="00892ED1">
      <w:pPr>
        <w:rPr>
          <w:lang w:val="en-US"/>
        </w:rPr>
      </w:pPr>
      <w:r>
        <w:rPr>
          <w:lang w:val="en-US"/>
        </w:rPr>
        <w:t>where</w:t>
      </w:r>
      <w:r w:rsidR="00362136" w:rsidRPr="0080009C">
        <w:rPr>
          <w:lang w:val="en-US"/>
        </w:rPr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eastAsia="Calibri" w:hAnsi="Cambria Math" w:cs="Calibri"/>
                <w:i/>
                <w:kern w:val="2"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362136" w:rsidRPr="0080009C">
        <w:rPr>
          <w:lang w:val="en-US"/>
        </w:rPr>
        <w:t xml:space="preserve"> </w:t>
      </w:r>
      <w:r>
        <w:rPr>
          <w:lang w:val="en-US"/>
        </w:rPr>
        <w:t xml:space="preserve">is the </w:t>
      </w:r>
      <w:r w:rsidRPr="0080009C">
        <w:rPr>
          <w:lang w:val="en-US"/>
        </w:rPr>
        <w:t>energy of site stabilization</w:t>
      </w:r>
      <w:r w:rsidR="00932FE3" w:rsidRPr="0080009C">
        <w:rPr>
          <w:lang w:val="en-US"/>
        </w:rPr>
        <w:t xml:space="preserve">; </w:t>
      </w:r>
      <m:oMath>
        <m:r>
          <w:rPr>
            <w:rFonts w:ascii="Cambria Math" w:hAnsi="Cambria Math"/>
          </w:rPr>
          <m:t>Δμ</m:t>
        </m:r>
      </m:oMath>
      <w:r w:rsidR="00932FE3" w:rsidRPr="0080009C">
        <w:rPr>
          <w:lang w:val="en-US"/>
        </w:rPr>
        <w:t xml:space="preserve"> – </w:t>
      </w:r>
      <w:r>
        <w:rPr>
          <w:lang w:val="en-US"/>
        </w:rPr>
        <w:t xml:space="preserve">chemical </w:t>
      </w:r>
      <w:r w:rsidRPr="0080009C">
        <w:rPr>
          <w:lang w:val="en-US"/>
        </w:rPr>
        <w:t>(supersaturation</w:t>
      </w:r>
      <w:r>
        <w:rPr>
          <w:lang w:val="en-US"/>
        </w:rPr>
        <w:t xml:space="preserve"> / driving force) potential</w:t>
      </w:r>
      <w:r w:rsidR="00932FE3" w:rsidRPr="0080009C">
        <w:rPr>
          <w:lang w:val="en-US"/>
        </w:rPr>
        <w:t xml:space="preserve">; </w:t>
      </w:r>
      <w:r w:rsidR="00932FE3">
        <w:rPr>
          <w:lang w:val="en-US"/>
        </w:rPr>
        <w:t>k</w:t>
      </w:r>
      <w:r w:rsidR="00932FE3" w:rsidRPr="0080009C">
        <w:rPr>
          <w:lang w:val="en-US"/>
        </w:rPr>
        <w:t xml:space="preserve"> – </w:t>
      </w:r>
      <w:r w:rsidR="00932FE3">
        <w:rPr>
          <w:lang w:val="en-US"/>
        </w:rPr>
        <w:t>Bolzman</w:t>
      </w:r>
      <w:r w:rsidR="00932FE3" w:rsidRPr="0080009C">
        <w:rPr>
          <w:lang w:val="en-US"/>
        </w:rPr>
        <w:t xml:space="preserve"> </w:t>
      </w:r>
      <w:r w:rsidR="00932FE3">
        <w:rPr>
          <w:lang w:val="en-US"/>
        </w:rPr>
        <w:t>constant</w:t>
      </w:r>
      <w:r w:rsidR="00932FE3" w:rsidRPr="0080009C">
        <w:rPr>
          <w:lang w:val="en-US"/>
        </w:rPr>
        <w:t xml:space="preserve">; </w:t>
      </w:r>
      <w:r w:rsidR="00932FE3">
        <w:rPr>
          <w:lang w:val="en-US"/>
        </w:rPr>
        <w:t>T</w:t>
      </w:r>
      <w:r w:rsidR="00932FE3" w:rsidRPr="0080009C">
        <w:rPr>
          <w:lang w:val="en-US"/>
        </w:rPr>
        <w:t xml:space="preserve"> – </w:t>
      </w:r>
      <w:r w:rsidR="00932FE3">
        <w:rPr>
          <w:lang w:val="en-US"/>
        </w:rPr>
        <w:t>absolute</w:t>
      </w:r>
      <w:r w:rsidR="00932FE3" w:rsidRPr="0080009C">
        <w:rPr>
          <w:lang w:val="en-US"/>
        </w:rPr>
        <w:t xml:space="preserve"> </w:t>
      </w:r>
      <w:r w:rsidR="00932FE3">
        <w:rPr>
          <w:lang w:val="en-US"/>
        </w:rPr>
        <w:t>temperature</w:t>
      </w:r>
      <w:r w:rsidR="00932FE3" w:rsidRPr="0080009C">
        <w:rPr>
          <w:lang w:val="en-US"/>
        </w:rPr>
        <w:t>.</w:t>
      </w:r>
    </w:p>
    <w:p w14:paraId="274DA908" w14:textId="1DC6CEF2" w:rsidR="0080009C" w:rsidRDefault="0080009C" w:rsidP="00892ED1">
      <w:pPr>
        <w:rPr>
          <w:lang w:val="en-US"/>
        </w:rPr>
      </w:pPr>
      <w:r>
        <w:rPr>
          <w:lang w:val="en-US"/>
        </w:rPr>
        <w:t>Among</w:t>
      </w:r>
      <w:r w:rsidRPr="0080009C">
        <w:rPr>
          <w:lang w:val="en-US"/>
        </w:rPr>
        <w:t xml:space="preserve"> the additions, a quantum-chemical approach using the solvation model based on density (SMD) is known</w:t>
      </w:r>
      <w:r>
        <w:rPr>
          <w:lang w:val="en-US"/>
        </w:rPr>
        <w:t xml:space="preserve"> </w:t>
      </w:r>
      <w:r w:rsidRPr="0080009C">
        <w:rPr>
          <w:lang w:val="en-US"/>
        </w:rPr>
        <w:t xml:space="preserve">[3], which is the first approximation for modeling crystal growth from solutions. However, the algorithm we </w:t>
      </w:r>
      <w:r>
        <w:rPr>
          <w:lang w:val="en-US"/>
        </w:rPr>
        <w:t>created</w:t>
      </w:r>
      <w:r w:rsidRPr="0080009C">
        <w:rPr>
          <w:lang w:val="en-US"/>
        </w:rPr>
        <w:t xml:space="preserve"> allows us to include the solvent in the calculation explicitly with as full account</w:t>
      </w:r>
      <w:r>
        <w:rPr>
          <w:lang w:val="en-US"/>
        </w:rPr>
        <w:t>ing</w:t>
      </w:r>
      <w:r w:rsidRPr="0080009C">
        <w:rPr>
          <w:lang w:val="en-US"/>
        </w:rPr>
        <w:t xml:space="preserve"> </w:t>
      </w:r>
      <w:r>
        <w:rPr>
          <w:lang w:val="en-US"/>
        </w:rPr>
        <w:t>for</w:t>
      </w:r>
      <w:r w:rsidRPr="0080009C">
        <w:rPr>
          <w:lang w:val="en-US"/>
        </w:rPr>
        <w:t xml:space="preserve"> pair interactions as the level of theory allows. In the case </w:t>
      </w:r>
      <w:r>
        <w:rPr>
          <w:lang w:val="en-US"/>
        </w:rPr>
        <w:t>represented on a</w:t>
      </w:r>
      <w:r w:rsidRPr="0080009C">
        <w:rPr>
          <w:lang w:val="en-US"/>
        </w:rPr>
        <w:t xml:space="preserve"> figure 1, </w:t>
      </w:r>
      <w:r>
        <w:rPr>
          <w:lang w:val="en-US"/>
        </w:rPr>
        <w:t xml:space="preserve">it is </w:t>
      </w:r>
      <w:r w:rsidRPr="0080009C">
        <w:rPr>
          <w:lang w:val="en-US"/>
        </w:rPr>
        <w:t>the molecular dynamics modeling approach</w:t>
      </w:r>
      <w:r w:rsidR="00636F74">
        <w:rPr>
          <w:lang w:val="en-US"/>
        </w:rPr>
        <w:t xml:space="preserve"> using</w:t>
      </w:r>
      <w:r w:rsidRPr="0080009C">
        <w:rPr>
          <w:lang w:val="en-US"/>
        </w:rPr>
        <w:t xml:space="preserve"> OPLS2005</w:t>
      </w:r>
      <w:r w:rsidR="00636F74">
        <w:rPr>
          <w:lang w:val="en-US"/>
        </w:rPr>
        <w:t xml:space="preserve"> force field</w:t>
      </w:r>
      <w:r w:rsidRPr="0080009C">
        <w:rPr>
          <w:lang w:val="en-US"/>
        </w:rPr>
        <w:t>. In addition, the ways to include a partitioning of conformational changes and thermodynamic parameters (T, P) into individual pairs of molecules were developed by us.</w:t>
      </w:r>
      <w:r>
        <w:rPr>
          <w:lang w:val="en-US"/>
        </w:rPr>
        <w:t xml:space="preserve"> </w:t>
      </w:r>
      <w:r w:rsidR="00533222">
        <w:rPr>
          <w:lang w:val="en-US"/>
        </w:rPr>
        <w:t>Now, the methodology to include the supersaturation and many-body interactions in the model in way</w:t>
      </w:r>
      <w:r w:rsidR="00CD6A62">
        <w:rPr>
          <w:lang w:val="en-US"/>
        </w:rPr>
        <w:t>s</w:t>
      </w:r>
      <w:r w:rsidR="00533222">
        <w:rPr>
          <w:lang w:val="en-US"/>
        </w:rPr>
        <w:t xml:space="preserve"> of nature is still in the scope, but the model already provides us with </w:t>
      </w:r>
      <w:r w:rsidR="00CD6A62">
        <w:rPr>
          <w:lang w:val="en-US"/>
        </w:rPr>
        <w:t>valuable information on morphology, habit and interactions distribution both in bulk and at the crystal surface:</w:t>
      </w:r>
    </w:p>
    <w:p w14:paraId="66D5E263" w14:textId="77777777" w:rsidR="00672E74" w:rsidRDefault="00672E74" w:rsidP="00892ED1">
      <w:pPr>
        <w:rPr>
          <w:lang w:val="en-US"/>
        </w:rPr>
      </w:pPr>
    </w:p>
    <w:p w14:paraId="64056CFB" w14:textId="102C432D" w:rsidR="0080009C" w:rsidRDefault="00672E74" w:rsidP="00672E74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4685D6F" wp14:editId="1F4AB5C7">
            <wp:extent cx="5962650" cy="933450"/>
            <wp:effectExtent l="0" t="0" r="0" b="0"/>
            <wp:docPr id="13512285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40DF6" w14:textId="34A41B10" w:rsidR="00672E74" w:rsidRDefault="00672E74" w:rsidP="00892ED1">
      <w:pPr>
        <w:rPr>
          <w:lang w:val="en-US"/>
        </w:rPr>
      </w:pPr>
      <w:r>
        <w:rPr>
          <w:lang w:val="en-US"/>
        </w:rPr>
        <w:t xml:space="preserve">Figure 1. </w:t>
      </w:r>
      <w:r w:rsidR="006C5E7F">
        <w:rPr>
          <w:lang w:val="en-US"/>
        </w:rPr>
        <w:t>Theoretical c</w:t>
      </w:r>
      <w:r w:rsidR="006C5E7F">
        <w:rPr>
          <w:lang w:val="en-US"/>
        </w:rPr>
        <w:t xml:space="preserve">rystal </w:t>
      </w:r>
      <w:r>
        <w:rPr>
          <w:lang w:val="en-US"/>
        </w:rPr>
        <w:t xml:space="preserve">habits </w:t>
      </w:r>
      <w:r w:rsidR="006C5E7F">
        <w:rPr>
          <w:lang w:val="en-US"/>
        </w:rPr>
        <w:t>of</w:t>
      </w:r>
      <w:r>
        <w:rPr>
          <w:lang w:val="en-US"/>
        </w:rPr>
        <w:t xml:space="preserve"> urea with (in red) and without (in multi-color) our approach as well as the experimental habit</w:t>
      </w:r>
      <w:r w:rsidR="0058461F">
        <w:rPr>
          <w:lang w:val="en-US"/>
        </w:rPr>
        <w:t xml:space="preserve">s obtained </w:t>
      </w:r>
      <w:r w:rsidR="006C5E7F">
        <w:rPr>
          <w:lang w:val="en-US"/>
        </w:rPr>
        <w:t>using</w:t>
      </w:r>
      <w:r w:rsidR="006C5E7F">
        <w:rPr>
          <w:lang w:val="en-US"/>
        </w:rPr>
        <w:t xml:space="preserve"> </w:t>
      </w:r>
      <w:r w:rsidR="00FD5847">
        <w:rPr>
          <w:lang w:val="en-US"/>
        </w:rPr>
        <w:t>cooling method</w:t>
      </w:r>
      <w:r w:rsidR="001D635D">
        <w:rPr>
          <w:lang w:val="en-US"/>
        </w:rPr>
        <w:t xml:space="preserve"> </w:t>
      </w:r>
      <w:r w:rsidR="0058461F">
        <w:rPr>
          <w:lang w:val="en-US"/>
        </w:rPr>
        <w:t xml:space="preserve">from water, ethanol and isobutanol </w:t>
      </w:r>
      <w:r w:rsidR="0058461F" w:rsidRPr="0058461F">
        <w:rPr>
          <w:lang w:val="en-US"/>
        </w:rPr>
        <w:t>accordingly</w:t>
      </w:r>
      <w:r>
        <w:rPr>
          <w:lang w:val="en-US"/>
        </w:rPr>
        <w:t xml:space="preserve"> [4].</w:t>
      </w:r>
    </w:p>
    <w:p w14:paraId="14B1E505" w14:textId="1BDABCCE" w:rsidR="00672E74" w:rsidRDefault="00FB086D">
      <w:pPr>
        <w:pStyle w:val="Heading4"/>
      </w:pPr>
      <w:r>
        <w:t xml:space="preserve">[1] </w:t>
      </w:r>
      <w:r w:rsidR="00884A02">
        <w:t xml:space="preserve">Anderson, M.W., Gebbie-Rayet, J.T., Hill, A.R., Farida, N., Attfield, M.P., et al. (2017). </w:t>
      </w:r>
      <w:r w:rsidR="00884A02" w:rsidRPr="00884A02">
        <w:rPr>
          <w:i/>
          <w:iCs/>
        </w:rPr>
        <w:t>Nature.</w:t>
      </w:r>
      <w:r w:rsidR="00884A02">
        <w:t xml:space="preserve"> </w:t>
      </w:r>
      <w:r w:rsidR="00884A02" w:rsidRPr="00884A02">
        <w:rPr>
          <w:b/>
          <w:bCs w:val="0"/>
        </w:rPr>
        <w:t>544</w:t>
      </w:r>
      <w:r w:rsidR="00884A02" w:rsidRPr="00884A02">
        <w:t>, 456</w:t>
      </w:r>
      <w:r w:rsidR="00884A02">
        <w:t>.</w:t>
      </w:r>
    </w:p>
    <w:p w14:paraId="4A45A00B" w14:textId="6ABC39E5" w:rsidR="00070B5F" w:rsidRDefault="00FB086D">
      <w:pPr>
        <w:pStyle w:val="Heading4"/>
      </w:pPr>
      <w:r w:rsidRPr="00884A02">
        <w:rPr>
          <w:lang w:val="en-US"/>
        </w:rPr>
        <w:t xml:space="preserve">[2] </w:t>
      </w:r>
      <w:r w:rsidR="00884A02">
        <w:t xml:space="preserve">Hill, A.R., Cubillas, P., Gebbie-Rayet, J.T., Trueman, M., de Bruyn, N., et al. (2021). </w:t>
      </w:r>
      <w:r w:rsidR="00884A02" w:rsidRPr="00884A02">
        <w:rPr>
          <w:i/>
          <w:iCs/>
        </w:rPr>
        <w:t>Chem. Sci.</w:t>
      </w:r>
      <w:r w:rsidR="00884A02">
        <w:t xml:space="preserve"> </w:t>
      </w:r>
      <w:r w:rsidR="00884A02" w:rsidRPr="00884A02">
        <w:rPr>
          <w:b/>
          <w:bCs w:val="0"/>
        </w:rPr>
        <w:t>12</w:t>
      </w:r>
      <w:r w:rsidR="00884A02">
        <w:t xml:space="preserve">, </w:t>
      </w:r>
      <w:r w:rsidR="00884A02" w:rsidRPr="00884A02">
        <w:t>1126</w:t>
      </w:r>
      <w:r w:rsidR="00884A02">
        <w:t>.</w:t>
      </w:r>
    </w:p>
    <w:p w14:paraId="6C19987D" w14:textId="7D7A7355" w:rsidR="00070B5F" w:rsidRDefault="00FB086D" w:rsidP="00FD5847">
      <w:pPr>
        <w:pStyle w:val="Heading4"/>
      </w:pPr>
      <w:r>
        <w:t xml:space="preserve">[3] </w:t>
      </w:r>
      <w:r w:rsidR="00FD5847">
        <w:t>Spackman, P.R., Walisinghe, A.J., Anderson, M.W., Gale, J.D.</w:t>
      </w:r>
      <w:r w:rsidR="00110017">
        <w:t xml:space="preserve"> (2023).</w:t>
      </w:r>
      <w:r w:rsidR="00FD5847">
        <w:t xml:space="preserve"> </w:t>
      </w:r>
      <w:r w:rsidR="00FD5847" w:rsidRPr="00884A02">
        <w:rPr>
          <w:i/>
          <w:iCs/>
        </w:rPr>
        <w:t>Chem. Sci.</w:t>
      </w:r>
      <w:r w:rsidR="00FD5847">
        <w:t xml:space="preserve"> </w:t>
      </w:r>
      <w:r w:rsidR="00FD5847" w:rsidRPr="00FD5847">
        <w:rPr>
          <w:b/>
          <w:bCs w:val="0"/>
        </w:rPr>
        <w:t>14</w:t>
      </w:r>
      <w:r w:rsidR="00FD5847" w:rsidRPr="00FD5847">
        <w:t>, 7192</w:t>
      </w:r>
      <w:r w:rsidR="00FD5847">
        <w:t>.</w:t>
      </w:r>
    </w:p>
    <w:p w14:paraId="58A9809C" w14:textId="70D04547" w:rsidR="00070B5F" w:rsidRDefault="00FB086D" w:rsidP="00672E74">
      <w:pPr>
        <w:pStyle w:val="Heading4"/>
      </w:pPr>
      <w:r>
        <w:t xml:space="preserve">[4] </w:t>
      </w:r>
      <w:r w:rsidR="00F61816" w:rsidRPr="00F61816">
        <w:t>Shahrir</w:t>
      </w:r>
      <w:r w:rsidR="00F61816">
        <w:t xml:space="preserve">, N., </w:t>
      </w:r>
      <w:r w:rsidR="00110017" w:rsidRPr="00110017">
        <w:t>Yusop</w:t>
      </w:r>
      <w:r w:rsidR="00110017">
        <w:t xml:space="preserve">, S.N., </w:t>
      </w:r>
      <w:r w:rsidR="00110017" w:rsidRPr="00110017">
        <w:t>Anuar</w:t>
      </w:r>
      <w:r w:rsidR="00110017">
        <w:t xml:space="preserve">, N., </w:t>
      </w:r>
      <w:r w:rsidR="00110017" w:rsidRPr="00110017">
        <w:t>Zaki</w:t>
      </w:r>
      <w:r w:rsidR="00110017">
        <w:t xml:space="preserve">, H.M., </w:t>
      </w:r>
      <w:r w:rsidR="00110017" w:rsidRPr="00110017">
        <w:t>Tominaga</w:t>
      </w:r>
      <w:r w:rsidR="00110017">
        <w:t xml:space="preserve">, Y. (2023). </w:t>
      </w:r>
      <w:r w:rsidR="00110017" w:rsidRPr="00FB086D">
        <w:rPr>
          <w:i/>
          <w:iCs/>
        </w:rPr>
        <w:t>Cryst. Growth Des.</w:t>
      </w:r>
      <w:r w:rsidR="00110017" w:rsidRPr="00110017">
        <w:t xml:space="preserve"> </w:t>
      </w:r>
      <w:r w:rsidR="00110017" w:rsidRPr="00110017">
        <w:rPr>
          <w:b/>
          <w:bCs w:val="0"/>
        </w:rPr>
        <w:t>23</w:t>
      </w:r>
      <w:r w:rsidR="00110017" w:rsidRPr="00110017">
        <w:t>, 4240</w:t>
      </w:r>
      <w:r w:rsidR="00110017">
        <w:t>.</w:t>
      </w:r>
    </w:p>
    <w:sectPr w:rsidR="00070B5F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A0B0" w14:textId="77777777" w:rsidR="009E0E89" w:rsidRDefault="009E0E89">
      <w:pPr>
        <w:spacing w:after="0"/>
      </w:pPr>
      <w:r>
        <w:separator/>
      </w:r>
    </w:p>
  </w:endnote>
  <w:endnote w:type="continuationSeparator" w:id="0">
    <w:p w14:paraId="07EAAE4F" w14:textId="77777777" w:rsidR="009E0E89" w:rsidRDefault="009E0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CCB3" w14:textId="77777777" w:rsidR="00070B5F" w:rsidRDefault="00FB086D">
    <w:pPr>
      <w:pStyle w:val="Footer"/>
    </w:pPr>
    <w:r>
      <w:t>Acta Cryst. (2025). A81, e1</w:t>
    </w:r>
  </w:p>
  <w:p w14:paraId="40E08E46" w14:textId="77777777" w:rsidR="00070B5F" w:rsidRDefault="00070B5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9DD4" w14:textId="77777777" w:rsidR="009E0E89" w:rsidRDefault="009E0E89">
      <w:pPr>
        <w:spacing w:after="0"/>
      </w:pPr>
      <w:r>
        <w:separator/>
      </w:r>
    </w:p>
  </w:footnote>
  <w:footnote w:type="continuationSeparator" w:id="0">
    <w:p w14:paraId="7698B4D3" w14:textId="77777777" w:rsidR="009E0E89" w:rsidRDefault="009E0E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AA7C" w14:textId="2562F7DE" w:rsidR="00070B5F" w:rsidRDefault="00FB086D">
    <w:pPr>
      <w:tabs>
        <w:tab w:val="center" w:pos="4703"/>
        <w:tab w:val="right" w:pos="9406"/>
      </w:tabs>
    </w:pPr>
    <w:r>
      <w:tab/>
    </w:r>
    <w:r w:rsidR="00201F86" w:rsidRPr="00201F86">
      <w:rPr>
        <w:b/>
        <w:bCs/>
      </w:rPr>
      <w:t>M33 Nucleation and crystal growth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C7BFD"/>
    <w:multiLevelType w:val="multilevel"/>
    <w:tmpl w:val="ED5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18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5F"/>
    <w:rsid w:val="00007174"/>
    <w:rsid w:val="00070B5F"/>
    <w:rsid w:val="000C1E0E"/>
    <w:rsid w:val="00110017"/>
    <w:rsid w:val="00192556"/>
    <w:rsid w:val="001D37C3"/>
    <w:rsid w:val="001D635D"/>
    <w:rsid w:val="00201F86"/>
    <w:rsid w:val="00226D78"/>
    <w:rsid w:val="002E7AD6"/>
    <w:rsid w:val="00362136"/>
    <w:rsid w:val="004405BF"/>
    <w:rsid w:val="00487BD7"/>
    <w:rsid w:val="005061CC"/>
    <w:rsid w:val="00520BA3"/>
    <w:rsid w:val="00533222"/>
    <w:rsid w:val="00555A79"/>
    <w:rsid w:val="0058461F"/>
    <w:rsid w:val="005B7F2C"/>
    <w:rsid w:val="005C7BCF"/>
    <w:rsid w:val="00636F74"/>
    <w:rsid w:val="00660D20"/>
    <w:rsid w:val="00672E74"/>
    <w:rsid w:val="006C5E7F"/>
    <w:rsid w:val="006D3FA3"/>
    <w:rsid w:val="006F6C17"/>
    <w:rsid w:val="007D2FC3"/>
    <w:rsid w:val="0080009C"/>
    <w:rsid w:val="00853B36"/>
    <w:rsid w:val="00884A02"/>
    <w:rsid w:val="00892ED1"/>
    <w:rsid w:val="009117C8"/>
    <w:rsid w:val="00931D82"/>
    <w:rsid w:val="00932FE3"/>
    <w:rsid w:val="00945E9A"/>
    <w:rsid w:val="00966D68"/>
    <w:rsid w:val="009E0E89"/>
    <w:rsid w:val="00A204EA"/>
    <w:rsid w:val="00A25CE5"/>
    <w:rsid w:val="00A66FCB"/>
    <w:rsid w:val="00A9060C"/>
    <w:rsid w:val="00B35CEF"/>
    <w:rsid w:val="00B47D31"/>
    <w:rsid w:val="00C611AB"/>
    <w:rsid w:val="00C962D0"/>
    <w:rsid w:val="00CD6A62"/>
    <w:rsid w:val="00D37FB8"/>
    <w:rsid w:val="00D83953"/>
    <w:rsid w:val="00DA1E41"/>
    <w:rsid w:val="00DF092D"/>
    <w:rsid w:val="00E251C0"/>
    <w:rsid w:val="00EF5AD3"/>
    <w:rsid w:val="00F333F8"/>
    <w:rsid w:val="00F61816"/>
    <w:rsid w:val="00FB086D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CED2"/>
  <w15:docId w15:val="{F86D3ED7-82CF-4F5C-A5AB-C882C9B0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6F74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Vaksler, Yevhenii [JRDBE]</cp:lastModifiedBy>
  <cp:revision>3</cp:revision>
  <dcterms:created xsi:type="dcterms:W3CDTF">2025-04-23T11:10:00Z</dcterms:created>
  <dcterms:modified xsi:type="dcterms:W3CDTF">2025-04-24T08:06:00Z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