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97A5D" w14:textId="180E3D7A" w:rsidR="006722CC" w:rsidRDefault="00631021">
      <w:pPr>
        <w:pStyle w:val="Heading1"/>
      </w:pPr>
      <w:r w:rsidRPr="00631021">
        <w:rPr>
          <w:lang w:val="en-US"/>
        </w:rPr>
        <w:t xml:space="preserve">How </w:t>
      </w:r>
      <w:proofErr w:type="gramStart"/>
      <w:r w:rsidRPr="00631021">
        <w:rPr>
          <w:lang w:val="en-US"/>
        </w:rPr>
        <w:t>exotic synthesis path coupled with semi-automated processes can</w:t>
      </w:r>
      <w:proofErr w:type="gramEnd"/>
      <w:r w:rsidRPr="00631021">
        <w:rPr>
          <w:lang w:val="en-US"/>
        </w:rPr>
        <w:t xml:space="preserve"> accelerate the discovery of new </w:t>
      </w:r>
      <w:r w:rsidR="00E31519" w:rsidRPr="00631021">
        <w:rPr>
          <w:lang w:val="en-US"/>
        </w:rPr>
        <w:t>materials?</w:t>
      </w:r>
      <w:r w:rsidR="00F774B1">
        <w:t xml:space="preserve"> </w:t>
      </w:r>
    </w:p>
    <w:p w14:paraId="5EC97A5E" w14:textId="6F720F8A" w:rsidR="006722CC" w:rsidRPr="00DF7D84" w:rsidRDefault="00631021">
      <w:pPr>
        <w:pStyle w:val="Heading2"/>
        <w:rPr>
          <w:vertAlign w:val="superscript"/>
          <w:lang w:val="en-US"/>
        </w:rPr>
      </w:pPr>
      <w:r w:rsidRPr="00DF7D84">
        <w:rPr>
          <w:u w:val="single"/>
          <w:lang w:val="en-US"/>
        </w:rPr>
        <w:t>G. Minart</w:t>
      </w:r>
      <w:r w:rsidR="00F774B1" w:rsidRPr="00DF7D84">
        <w:rPr>
          <w:vertAlign w:val="superscript"/>
          <w:lang w:val="en-US"/>
        </w:rPr>
        <w:t>1</w:t>
      </w:r>
      <w:r w:rsidR="001478D5" w:rsidRPr="00DF7D84">
        <w:rPr>
          <w:vertAlign w:val="superscript"/>
          <w:lang w:val="en-US"/>
        </w:rPr>
        <w:t>,2</w:t>
      </w:r>
      <w:r w:rsidR="00F774B1" w:rsidRPr="00DF7D84">
        <w:rPr>
          <w:lang w:val="en-US"/>
        </w:rPr>
        <w:t xml:space="preserve">, </w:t>
      </w:r>
      <w:r w:rsidRPr="00DF7D84">
        <w:rPr>
          <w:lang w:val="en-US"/>
        </w:rPr>
        <w:t>M. Reynaud</w:t>
      </w:r>
      <w:r w:rsidR="00F774B1" w:rsidRPr="00DF7D84">
        <w:rPr>
          <w:vertAlign w:val="superscript"/>
          <w:lang w:val="en-US"/>
        </w:rPr>
        <w:t>1</w:t>
      </w:r>
      <w:r w:rsidR="00F774B1" w:rsidRPr="00DF7D84">
        <w:rPr>
          <w:lang w:val="en-US"/>
        </w:rPr>
        <w:t xml:space="preserve">, </w:t>
      </w:r>
      <w:r w:rsidR="00C21A09" w:rsidRPr="00DF7D84">
        <w:rPr>
          <w:lang w:val="en-US"/>
        </w:rPr>
        <w:t>M. Casas</w:t>
      </w:r>
      <w:r w:rsidR="00EB2CCB" w:rsidRPr="00DF7D84">
        <w:rPr>
          <w:lang w:val="en-US"/>
        </w:rPr>
        <w:t>-Cabanas</w:t>
      </w:r>
      <w:r w:rsidR="00C21A09" w:rsidRPr="00DF7D84">
        <w:rPr>
          <w:vertAlign w:val="superscript"/>
          <w:lang w:val="en-US"/>
        </w:rPr>
        <w:t>1</w:t>
      </w:r>
      <w:r w:rsidR="005E5AD1" w:rsidRPr="00DF7D84">
        <w:rPr>
          <w:lang w:val="en-US"/>
        </w:rPr>
        <w:t xml:space="preserve">, </w:t>
      </w:r>
      <w:r w:rsidR="00CC04F0" w:rsidRPr="00DF7D84">
        <w:rPr>
          <w:lang w:val="en-US"/>
        </w:rPr>
        <w:t>L. Croguennec</w:t>
      </w:r>
      <w:r w:rsidR="00FD0E73" w:rsidRPr="00DF7D84">
        <w:rPr>
          <w:vertAlign w:val="superscript"/>
          <w:lang w:val="en-US"/>
        </w:rPr>
        <w:t>2,3</w:t>
      </w:r>
      <w:r w:rsidR="00FD0E73" w:rsidRPr="00DF7D84">
        <w:rPr>
          <w:lang w:val="en-US"/>
        </w:rPr>
        <w:t>, Jacob Olchowka</w:t>
      </w:r>
      <w:r w:rsidR="004B1E8C" w:rsidRPr="00DF7D84">
        <w:rPr>
          <w:vertAlign w:val="superscript"/>
          <w:lang w:val="en-US"/>
        </w:rPr>
        <w:t>2,3</w:t>
      </w:r>
    </w:p>
    <w:p w14:paraId="5EC97A5F" w14:textId="5B9D1909" w:rsidR="006722CC" w:rsidRPr="004B1E8C" w:rsidRDefault="00F774B1" w:rsidP="00E13BAE">
      <w:pPr>
        <w:jc w:val="center"/>
        <w:rPr>
          <w:rFonts w:ascii="Verdana" w:hAnsi="Verdana"/>
          <w:i/>
          <w:lang w:val="fr-FR"/>
        </w:rPr>
      </w:pPr>
      <w:r>
        <w:rPr>
          <w:vertAlign w:val="superscript"/>
        </w:rPr>
        <w:t>1</w:t>
      </w:r>
      <w:r w:rsidR="001478D5" w:rsidRPr="001478D5">
        <w:rPr>
          <w:rFonts w:ascii="Verdana" w:hAnsi="Verdana" w:cs="Arial"/>
          <w:iCs/>
        </w:rPr>
        <w:t xml:space="preserve"> </w:t>
      </w:r>
      <w:r w:rsidR="001478D5" w:rsidRPr="001478D5">
        <w:rPr>
          <w:i/>
          <w:iCs/>
        </w:rPr>
        <w:t xml:space="preserve">Centre for Cooperative Research on Alternative Energies (CIC </w:t>
      </w:r>
      <w:proofErr w:type="spellStart"/>
      <w:r w:rsidR="001478D5" w:rsidRPr="001478D5">
        <w:rPr>
          <w:i/>
          <w:iCs/>
        </w:rPr>
        <w:t>energiGUNE</w:t>
      </w:r>
      <w:proofErr w:type="spellEnd"/>
      <w:r w:rsidR="001478D5" w:rsidRPr="001478D5">
        <w:rPr>
          <w:i/>
          <w:iCs/>
        </w:rPr>
        <w:t>), Basque Research and Technology Alliance (BRTA), Alava Technology Park, Albert Einstein 48, Vitoria-</w:t>
      </w:r>
      <w:proofErr w:type="spellStart"/>
      <w:r w:rsidR="001478D5" w:rsidRPr="001478D5">
        <w:rPr>
          <w:i/>
          <w:iCs/>
        </w:rPr>
        <w:t>Gasteiz</w:t>
      </w:r>
      <w:proofErr w:type="spellEnd"/>
      <w:r w:rsidR="001478D5" w:rsidRPr="001478D5">
        <w:rPr>
          <w:i/>
          <w:iCs/>
        </w:rPr>
        <w:t xml:space="preserve"> 01510, Spain</w:t>
      </w:r>
      <w:r w:rsidR="001478D5">
        <w:rPr>
          <w:iCs/>
        </w:rPr>
        <w:t>,</w:t>
      </w:r>
      <w:r w:rsidR="001478D5" w:rsidRPr="001478D5">
        <w:rPr>
          <w:vertAlign w:val="superscript"/>
        </w:rPr>
        <w:t xml:space="preserve"> </w:t>
      </w:r>
      <w:r>
        <w:rPr>
          <w:vertAlign w:val="superscript"/>
        </w:rPr>
        <w:t>2</w:t>
      </w:r>
      <w:r w:rsidR="005431D3" w:rsidRPr="005431D3">
        <w:rPr>
          <w:rFonts w:ascii="Verdana" w:hAnsi="Verdana"/>
          <w:i/>
        </w:rPr>
        <w:t xml:space="preserve"> </w:t>
      </w:r>
      <w:r w:rsidR="005431D3" w:rsidRPr="005431D3">
        <w:rPr>
          <w:i/>
        </w:rPr>
        <w:t xml:space="preserve">Univ. </w:t>
      </w:r>
      <w:r w:rsidR="005431D3" w:rsidRPr="004B1E8C">
        <w:rPr>
          <w:i/>
          <w:lang w:val="fr-FR"/>
        </w:rPr>
        <w:t>Bordeaux, CNRS, Bordeaux INP, ICMCB, UMR 5026, F-33600 Pessac, France</w:t>
      </w:r>
      <w:r w:rsidR="004B1E8C" w:rsidRPr="004B1E8C">
        <w:rPr>
          <w:i/>
          <w:lang w:val="fr-FR"/>
        </w:rPr>
        <w:t xml:space="preserve">, </w:t>
      </w:r>
      <w:r w:rsidR="004B1E8C">
        <w:rPr>
          <w:i/>
          <w:vertAlign w:val="superscript"/>
          <w:lang w:val="fr-FR"/>
        </w:rPr>
        <w:t>3</w:t>
      </w:r>
      <w:r w:rsidR="00E13BAE" w:rsidRPr="00E13BAE">
        <w:rPr>
          <w:rFonts w:ascii="Verdana" w:hAnsi="Verdana"/>
          <w:i/>
          <w:lang w:val="fr-FR"/>
        </w:rPr>
        <w:t xml:space="preserve"> </w:t>
      </w:r>
      <w:r w:rsidR="00E13BAE" w:rsidRPr="00E13BAE">
        <w:rPr>
          <w:i/>
          <w:lang w:val="fr-FR"/>
        </w:rPr>
        <w:t>RS2E, Réseau Français sur le Stockage Electrochimique de l'Energie, FR CNRS #3459, Cedex 1, F-80039 Amiens, France</w:t>
      </w:r>
    </w:p>
    <w:p w14:paraId="5EC97A60" w14:textId="1BC8C6FB" w:rsidR="006722CC" w:rsidRPr="00AA53F2" w:rsidRDefault="00667DF1">
      <w:pPr>
        <w:pStyle w:val="Heading3"/>
        <w:rPr>
          <w:sz w:val="18"/>
          <w:szCs w:val="18"/>
          <w:lang w:val="en-US"/>
        </w:rPr>
      </w:pPr>
      <w:r w:rsidRPr="00AA53F2">
        <w:rPr>
          <w:lang w:val="en-US" w:eastAsia="de-DE"/>
        </w:rPr>
        <w:t>gminart@cicenergigune.com</w:t>
      </w:r>
      <w:r w:rsidR="00F774B1" w:rsidRPr="00AA53F2">
        <w:rPr>
          <w:lang w:val="en-US" w:eastAsia="de-DE"/>
        </w:rPr>
        <w:br/>
      </w:r>
    </w:p>
    <w:p w14:paraId="012F9DE3" w14:textId="4B2D7224" w:rsidR="00AE3FE0" w:rsidRDefault="00F56E69">
      <w:pPr>
        <w:rPr>
          <w:lang w:val="en-US"/>
        </w:rPr>
      </w:pPr>
      <w:r w:rsidRPr="00F56E69">
        <w:rPr>
          <w:lang w:val="en-US"/>
        </w:rPr>
        <w:t>As s</w:t>
      </w:r>
      <w:r>
        <w:rPr>
          <w:lang w:val="en-US"/>
        </w:rPr>
        <w:t xml:space="preserve">cience has </w:t>
      </w:r>
      <w:r w:rsidR="00B70AC9">
        <w:rPr>
          <w:lang w:val="en-US"/>
        </w:rPr>
        <w:t xml:space="preserve">recently </w:t>
      </w:r>
      <w:r>
        <w:rPr>
          <w:lang w:val="en-US"/>
        </w:rPr>
        <w:t xml:space="preserve">entered a new era </w:t>
      </w:r>
      <w:r w:rsidR="00B70AC9">
        <w:rPr>
          <w:lang w:val="en-US"/>
        </w:rPr>
        <w:t xml:space="preserve">in terms of </w:t>
      </w:r>
      <w:r w:rsidR="00BF2C66">
        <w:rPr>
          <w:lang w:val="en-US"/>
        </w:rPr>
        <w:t xml:space="preserve">knowledge quantity due to an </w:t>
      </w:r>
      <w:r w:rsidR="007F3C87">
        <w:rPr>
          <w:lang w:val="en-US"/>
        </w:rPr>
        <w:t xml:space="preserve">unprecedented acceleration in scientific </w:t>
      </w:r>
      <w:proofErr w:type="gramStart"/>
      <w:r w:rsidR="007326F8">
        <w:rPr>
          <w:lang w:val="en-US"/>
        </w:rPr>
        <w:t>production</w:t>
      </w:r>
      <w:proofErr w:type="gramEnd"/>
      <w:r w:rsidR="007F3C87">
        <w:rPr>
          <w:lang w:val="en-US"/>
        </w:rPr>
        <w:t xml:space="preserve"> </w:t>
      </w:r>
      <w:r w:rsidR="001471BB">
        <w:rPr>
          <w:lang w:val="en-US"/>
        </w:rPr>
        <w:t xml:space="preserve">mostly caused by the </w:t>
      </w:r>
      <w:r w:rsidR="00282298">
        <w:rPr>
          <w:lang w:val="en-US"/>
        </w:rPr>
        <w:t>e</w:t>
      </w:r>
      <w:r w:rsidR="001471BB">
        <w:rPr>
          <w:lang w:val="en-US"/>
        </w:rPr>
        <w:t xml:space="preserve">mergence </w:t>
      </w:r>
      <w:r w:rsidR="00282298">
        <w:rPr>
          <w:lang w:val="en-US"/>
        </w:rPr>
        <w:t xml:space="preserve">of </w:t>
      </w:r>
      <w:r w:rsidR="00A276A3">
        <w:rPr>
          <w:lang w:val="en-US"/>
        </w:rPr>
        <w:t xml:space="preserve">computational calculations and artificial intelligence, </w:t>
      </w:r>
      <w:r w:rsidR="00B67745">
        <w:rPr>
          <w:lang w:val="en-US"/>
        </w:rPr>
        <w:t xml:space="preserve">it is of the utmost importance to adapt </w:t>
      </w:r>
      <w:r w:rsidR="00F4204B">
        <w:rPr>
          <w:lang w:val="en-US"/>
        </w:rPr>
        <w:t xml:space="preserve">research facilities to face these new challenges. </w:t>
      </w:r>
    </w:p>
    <w:p w14:paraId="4A6CAC1B" w14:textId="4BFC7756" w:rsidR="00145E61" w:rsidRDefault="004A1E3C">
      <w:pPr>
        <w:rPr>
          <w:lang w:val="en-US"/>
        </w:rPr>
      </w:pPr>
      <w:r>
        <w:rPr>
          <w:lang w:val="en-US"/>
        </w:rPr>
        <w:t xml:space="preserve">In recent years, </w:t>
      </w:r>
      <w:r w:rsidR="00F91ED6">
        <w:rPr>
          <w:lang w:val="en-US"/>
        </w:rPr>
        <w:t xml:space="preserve">several research groups have been developing their own facilities </w:t>
      </w:r>
      <w:r w:rsidR="00D07842">
        <w:rPr>
          <w:lang w:val="en-US"/>
        </w:rPr>
        <w:t xml:space="preserve">for the high throughput synthesis of materials </w:t>
      </w:r>
      <w:r w:rsidR="003A7F90">
        <w:rPr>
          <w:lang w:val="en-US"/>
        </w:rPr>
        <w:t>for diverse applications [</w:t>
      </w:r>
      <w:r w:rsidR="008A75C7" w:rsidRPr="008A75C7">
        <w:rPr>
          <w:lang w:val="en-US"/>
        </w:rPr>
        <w:t>1</w:t>
      </w:r>
      <w:r w:rsidR="003A7F90">
        <w:rPr>
          <w:lang w:val="en-US"/>
        </w:rPr>
        <w:t xml:space="preserve">]. </w:t>
      </w:r>
      <w:r w:rsidR="00002B01">
        <w:rPr>
          <w:lang w:val="en-US"/>
        </w:rPr>
        <w:t>This</w:t>
      </w:r>
      <w:r w:rsidR="00F6339F">
        <w:rPr>
          <w:lang w:val="en-US"/>
        </w:rPr>
        <w:t xml:space="preserve"> is</w:t>
      </w:r>
      <w:r w:rsidR="00002B01">
        <w:rPr>
          <w:lang w:val="en-US"/>
        </w:rPr>
        <w:t xml:space="preserve"> also the case at</w:t>
      </w:r>
      <w:r w:rsidR="00F6339F">
        <w:rPr>
          <w:lang w:val="en-US"/>
        </w:rPr>
        <w:t xml:space="preserve"> the</w:t>
      </w:r>
      <w:r w:rsidR="00002B01">
        <w:rPr>
          <w:lang w:val="en-US"/>
        </w:rPr>
        <w:t xml:space="preserve"> </w:t>
      </w:r>
      <w:r w:rsidR="00F6339F" w:rsidRPr="00F6339F">
        <w:rPr>
          <w:i/>
          <w:iCs/>
          <w:lang w:val="en-US"/>
        </w:rPr>
        <w:t xml:space="preserve">CIC </w:t>
      </w:r>
      <w:proofErr w:type="spellStart"/>
      <w:r w:rsidR="00F6339F" w:rsidRPr="00F6339F">
        <w:rPr>
          <w:i/>
          <w:iCs/>
          <w:lang w:val="en-US"/>
        </w:rPr>
        <w:t>energiGUNE</w:t>
      </w:r>
      <w:proofErr w:type="spellEnd"/>
      <w:r w:rsidR="00F6339F">
        <w:rPr>
          <w:lang w:val="en-US"/>
        </w:rPr>
        <w:t xml:space="preserve"> research center</w:t>
      </w:r>
      <w:r w:rsidR="00001A6E">
        <w:rPr>
          <w:lang w:val="en-US"/>
        </w:rPr>
        <w:t xml:space="preserve">, where a </w:t>
      </w:r>
      <w:r w:rsidR="00A81B19">
        <w:rPr>
          <w:lang w:val="en-US"/>
        </w:rPr>
        <w:t xml:space="preserve">semi-automated laboratory </w:t>
      </w:r>
      <w:r w:rsidR="00977A3F">
        <w:rPr>
          <w:lang w:val="en-US"/>
        </w:rPr>
        <w:t>has been developed for the synthesis and discovery of new materials applied to electrochemical energy storage</w:t>
      </w:r>
      <w:r w:rsidR="008B4E83">
        <w:rPr>
          <w:lang w:val="en-US"/>
        </w:rPr>
        <w:t>, from active electrode materials</w:t>
      </w:r>
      <w:r w:rsidR="00320F62">
        <w:rPr>
          <w:lang w:val="en-US"/>
        </w:rPr>
        <w:t xml:space="preserve"> to solid state electrolytes</w:t>
      </w:r>
      <w:r w:rsidR="00977A3F">
        <w:rPr>
          <w:lang w:val="en-US"/>
        </w:rPr>
        <w:t>.</w:t>
      </w:r>
      <w:r w:rsidR="007E27FA">
        <w:rPr>
          <w:lang w:val="en-US"/>
        </w:rPr>
        <w:t xml:space="preserve"> </w:t>
      </w:r>
    </w:p>
    <w:p w14:paraId="456DC4F3" w14:textId="3AF804DC" w:rsidR="007F3C87" w:rsidRDefault="007E27FA">
      <w:pPr>
        <w:rPr>
          <w:lang w:val="en-US"/>
        </w:rPr>
      </w:pPr>
      <w:r>
        <w:rPr>
          <w:lang w:val="en-US"/>
        </w:rPr>
        <w:t>However</w:t>
      </w:r>
      <w:r w:rsidR="00E317C0">
        <w:rPr>
          <w:lang w:val="en-US"/>
        </w:rPr>
        <w:t xml:space="preserve">, </w:t>
      </w:r>
      <w:r w:rsidR="002242A9">
        <w:rPr>
          <w:lang w:val="en-US"/>
        </w:rPr>
        <w:t xml:space="preserve">one of the </w:t>
      </w:r>
      <w:r w:rsidR="00AF0381">
        <w:rPr>
          <w:lang w:val="en-US"/>
        </w:rPr>
        <w:t>issues</w:t>
      </w:r>
      <w:r w:rsidR="002242A9">
        <w:rPr>
          <w:lang w:val="en-US"/>
        </w:rPr>
        <w:t xml:space="preserve"> with high throughput </w:t>
      </w:r>
      <w:r w:rsidR="00972F72">
        <w:rPr>
          <w:lang w:val="en-US"/>
        </w:rPr>
        <w:t xml:space="preserve">synthesis is the large number </w:t>
      </w:r>
      <w:r w:rsidR="00AF0381">
        <w:rPr>
          <w:lang w:val="en-US"/>
        </w:rPr>
        <w:t xml:space="preserve">of samples that need to be </w:t>
      </w:r>
      <w:r w:rsidR="00542341">
        <w:rPr>
          <w:lang w:val="en-US"/>
        </w:rPr>
        <w:t>characterized,</w:t>
      </w:r>
      <w:r w:rsidR="000553A4">
        <w:rPr>
          <w:lang w:val="en-US"/>
        </w:rPr>
        <w:t xml:space="preserve"> </w:t>
      </w:r>
      <w:r w:rsidR="00DF7D84">
        <w:rPr>
          <w:lang w:val="en-US"/>
        </w:rPr>
        <w:t>moreover</w:t>
      </w:r>
      <w:r w:rsidR="000553A4">
        <w:rPr>
          <w:lang w:val="en-US"/>
        </w:rPr>
        <w:t xml:space="preserve"> </w:t>
      </w:r>
      <w:r w:rsidR="008363E7" w:rsidRPr="00DF7D84">
        <w:rPr>
          <w:i/>
          <w:lang w:val="en-US"/>
        </w:rPr>
        <w:t>operando</w:t>
      </w:r>
      <w:r w:rsidR="00DF7D84">
        <w:rPr>
          <w:i/>
          <w:lang w:val="en-US"/>
        </w:rPr>
        <w:t xml:space="preserve"> and/or</w:t>
      </w:r>
      <w:r w:rsidR="008363E7">
        <w:rPr>
          <w:lang w:val="en-US"/>
        </w:rPr>
        <w:t xml:space="preserve"> </w:t>
      </w:r>
      <w:r w:rsidR="008363E7" w:rsidRPr="00DF7D84">
        <w:rPr>
          <w:i/>
          <w:lang w:val="en-US"/>
        </w:rPr>
        <w:t>in</w:t>
      </w:r>
      <w:r w:rsidR="006F636C" w:rsidRPr="00DF7D84">
        <w:rPr>
          <w:i/>
          <w:lang w:val="en-US"/>
        </w:rPr>
        <w:t xml:space="preserve"> </w:t>
      </w:r>
      <w:r w:rsidR="008363E7" w:rsidRPr="00DF7D84">
        <w:rPr>
          <w:i/>
          <w:lang w:val="en-US"/>
        </w:rPr>
        <w:t>situ</w:t>
      </w:r>
      <w:r w:rsidR="008363E7">
        <w:rPr>
          <w:lang w:val="en-US"/>
        </w:rPr>
        <w:t xml:space="preserve"> X-rays </w:t>
      </w:r>
      <w:r w:rsidR="00DF7D84">
        <w:rPr>
          <w:lang w:val="en-US"/>
        </w:rPr>
        <w:t xml:space="preserve">diffraction </w:t>
      </w:r>
      <w:r w:rsidR="008363E7">
        <w:rPr>
          <w:lang w:val="en-US"/>
        </w:rPr>
        <w:t xml:space="preserve">analyses </w:t>
      </w:r>
      <w:r w:rsidR="007B05B3">
        <w:rPr>
          <w:lang w:val="en-US"/>
        </w:rPr>
        <w:t>are</w:t>
      </w:r>
      <w:r w:rsidR="00542341">
        <w:rPr>
          <w:lang w:val="en-US"/>
        </w:rPr>
        <w:t xml:space="preserve"> </w:t>
      </w:r>
      <w:r w:rsidR="00B41A4F">
        <w:rPr>
          <w:lang w:val="en-US"/>
        </w:rPr>
        <w:t>today</w:t>
      </w:r>
      <w:r w:rsidR="009074FF">
        <w:rPr>
          <w:lang w:val="en-US"/>
        </w:rPr>
        <w:t xml:space="preserve"> not only common</w:t>
      </w:r>
      <w:r w:rsidR="00542341">
        <w:rPr>
          <w:lang w:val="en-US"/>
        </w:rPr>
        <w:t>,</w:t>
      </w:r>
      <w:r w:rsidR="009074FF">
        <w:rPr>
          <w:lang w:val="en-US"/>
        </w:rPr>
        <w:t xml:space="preserve"> but also essential to understand</w:t>
      </w:r>
      <w:r w:rsidR="006D62ED">
        <w:rPr>
          <w:lang w:val="en-US"/>
        </w:rPr>
        <w:t xml:space="preserve"> battery</w:t>
      </w:r>
      <w:r w:rsidR="009074FF">
        <w:rPr>
          <w:lang w:val="en-US"/>
        </w:rPr>
        <w:t xml:space="preserve"> </w:t>
      </w:r>
      <w:r w:rsidR="00613F45">
        <w:rPr>
          <w:lang w:val="en-US"/>
        </w:rPr>
        <w:t xml:space="preserve">materials properties, which duplicates </w:t>
      </w:r>
      <w:r w:rsidR="002E282C">
        <w:rPr>
          <w:lang w:val="en-US"/>
        </w:rPr>
        <w:t>the number of required patterns refinements</w:t>
      </w:r>
      <w:r w:rsidR="00145E61">
        <w:rPr>
          <w:lang w:val="en-US"/>
        </w:rPr>
        <w:t xml:space="preserve">. </w:t>
      </w:r>
      <w:r w:rsidR="0016265E">
        <w:rPr>
          <w:lang w:val="en-US"/>
        </w:rPr>
        <w:t>These challenges motivated the development of</w:t>
      </w:r>
      <w:r w:rsidR="00037CC5">
        <w:rPr>
          <w:lang w:val="en-US"/>
        </w:rPr>
        <w:t xml:space="preserve"> the</w:t>
      </w:r>
      <w:r w:rsidR="00037CC5" w:rsidRPr="00F7044C">
        <w:rPr>
          <w:i/>
          <w:iCs/>
          <w:lang w:val="en-US"/>
        </w:rPr>
        <w:t xml:space="preserve"> </w:t>
      </w:r>
      <w:proofErr w:type="spellStart"/>
      <w:r w:rsidR="00037CC5" w:rsidRPr="00F7044C">
        <w:rPr>
          <w:i/>
          <w:iCs/>
          <w:lang w:val="en-US"/>
        </w:rPr>
        <w:t>FullProfAPP</w:t>
      </w:r>
      <w:proofErr w:type="spellEnd"/>
      <w:r w:rsidR="00037CC5">
        <w:rPr>
          <w:lang w:val="en-US"/>
        </w:rPr>
        <w:t xml:space="preserve"> software tool </w:t>
      </w:r>
      <w:r w:rsidR="003A6ABE">
        <w:rPr>
          <w:lang w:val="en-US"/>
        </w:rPr>
        <w:t xml:space="preserve">that </w:t>
      </w:r>
      <w:r w:rsidR="00AD2C76">
        <w:rPr>
          <w:lang w:val="en-US"/>
        </w:rPr>
        <w:t>facilitates full-profile phase</w:t>
      </w:r>
      <w:r w:rsidR="001A2CDD">
        <w:rPr>
          <w:lang w:val="en-US"/>
        </w:rPr>
        <w:t xml:space="preserve"> searches </w:t>
      </w:r>
      <w:r w:rsidR="00AD2C76">
        <w:rPr>
          <w:lang w:val="en-US"/>
        </w:rPr>
        <w:t xml:space="preserve">and </w:t>
      </w:r>
      <w:r w:rsidR="003A6ABE">
        <w:rPr>
          <w:lang w:val="en-US"/>
        </w:rPr>
        <w:t xml:space="preserve">enables </w:t>
      </w:r>
      <w:r w:rsidR="00C818C9">
        <w:rPr>
          <w:lang w:val="en-US"/>
        </w:rPr>
        <w:t>high-throughput Rietveld refinements</w:t>
      </w:r>
      <w:r w:rsidR="001A2CDD">
        <w:rPr>
          <w:lang w:val="en-US"/>
        </w:rPr>
        <w:t xml:space="preserve">, all via </w:t>
      </w:r>
      <w:r w:rsidR="00DC4296">
        <w:rPr>
          <w:lang w:val="en-US"/>
        </w:rPr>
        <w:t xml:space="preserve">an intuitive </w:t>
      </w:r>
      <w:r w:rsidR="00EC0202">
        <w:rPr>
          <w:lang w:val="en-US"/>
        </w:rPr>
        <w:t>graphical user interface</w:t>
      </w:r>
      <w:r w:rsidR="00F7044C">
        <w:rPr>
          <w:lang w:val="en-US"/>
        </w:rPr>
        <w:t xml:space="preserve"> </w:t>
      </w:r>
      <w:r w:rsidR="00F7044C" w:rsidRPr="004D2329">
        <w:rPr>
          <w:lang w:val="en-US"/>
        </w:rPr>
        <w:t>[</w:t>
      </w:r>
      <w:r w:rsidR="004D2329" w:rsidRPr="004D2329">
        <w:rPr>
          <w:lang w:val="en-US"/>
        </w:rPr>
        <w:t>2</w:t>
      </w:r>
      <w:r w:rsidR="00F7044C" w:rsidRPr="004D2329">
        <w:rPr>
          <w:lang w:val="en-US"/>
        </w:rPr>
        <w:t>]</w:t>
      </w:r>
      <w:r w:rsidR="00EC0202" w:rsidRPr="004D2329">
        <w:rPr>
          <w:lang w:val="en-US"/>
        </w:rPr>
        <w:t>.</w:t>
      </w:r>
    </w:p>
    <w:p w14:paraId="6FC79866" w14:textId="65148946" w:rsidR="00F7044C" w:rsidRPr="00202CAE" w:rsidRDefault="008611CD">
      <w:pPr>
        <w:rPr>
          <w:lang w:val="en-US"/>
        </w:rPr>
      </w:pPr>
      <w:r>
        <w:rPr>
          <w:lang w:val="en-US"/>
        </w:rPr>
        <w:t>The application of these tools</w:t>
      </w:r>
      <w:r w:rsidR="00E40870">
        <w:rPr>
          <w:lang w:val="en-US"/>
        </w:rPr>
        <w:t xml:space="preserve"> </w:t>
      </w:r>
      <w:r w:rsidR="00D41D04">
        <w:rPr>
          <w:lang w:val="en-US"/>
        </w:rPr>
        <w:t xml:space="preserve">can be </w:t>
      </w:r>
      <w:r w:rsidR="00FD2F6C">
        <w:rPr>
          <w:lang w:val="en-US"/>
        </w:rPr>
        <w:t xml:space="preserve">extremely effective for the </w:t>
      </w:r>
      <w:r w:rsidR="00202CAE">
        <w:rPr>
          <w:lang w:val="en-US"/>
        </w:rPr>
        <w:t>discovery</w:t>
      </w:r>
      <w:r w:rsidR="00FD2F6C">
        <w:rPr>
          <w:lang w:val="en-US"/>
        </w:rPr>
        <w:t xml:space="preserve"> of new materials, especially if they are coupled with exotic synthesis path</w:t>
      </w:r>
      <w:r w:rsidR="00AA53F2">
        <w:rPr>
          <w:lang w:val="en-US"/>
        </w:rPr>
        <w:t>s</w:t>
      </w:r>
      <w:r w:rsidR="00FD2F6C">
        <w:rPr>
          <w:lang w:val="en-US"/>
        </w:rPr>
        <w:t xml:space="preserve">. </w:t>
      </w:r>
      <w:r w:rsidR="00202CAE">
        <w:rPr>
          <w:lang w:val="en-US"/>
        </w:rPr>
        <w:t xml:space="preserve">The example of </w:t>
      </w:r>
      <w:r w:rsidR="00806F31">
        <w:rPr>
          <w:lang w:val="en-US"/>
        </w:rPr>
        <w:t>solvothermal</w:t>
      </w:r>
      <w:r w:rsidR="00202CAE">
        <w:rPr>
          <w:lang w:val="en-US"/>
        </w:rPr>
        <w:t xml:space="preserve"> synthesis using </w:t>
      </w:r>
      <w:r w:rsidR="00202CAE" w:rsidRPr="00202CAE">
        <w:rPr>
          <w:i/>
          <w:iCs/>
          <w:lang w:val="en-US"/>
        </w:rPr>
        <w:t>Ionic Liquids</w:t>
      </w:r>
      <w:r w:rsidR="00202CAE">
        <w:rPr>
          <w:lang w:val="en-US"/>
        </w:rPr>
        <w:t xml:space="preserve"> and </w:t>
      </w:r>
      <w:r w:rsidR="00202CAE" w:rsidRPr="00202CAE">
        <w:rPr>
          <w:i/>
          <w:iCs/>
          <w:lang w:val="en-US"/>
        </w:rPr>
        <w:t>Deep Eutectic Solvents</w:t>
      </w:r>
      <w:r w:rsidR="00202CAE">
        <w:rPr>
          <w:lang w:val="en-US"/>
        </w:rPr>
        <w:t xml:space="preserve"> has been </w:t>
      </w:r>
      <w:r w:rsidR="006829A2">
        <w:rPr>
          <w:lang w:val="en-US"/>
        </w:rPr>
        <w:t xml:space="preserve">chosen to illustrate </w:t>
      </w:r>
      <w:r w:rsidR="00373EF1">
        <w:rPr>
          <w:lang w:val="en-US"/>
        </w:rPr>
        <w:t>the large scope of new possibilities using this method thanks to the dozens of millions different compositions of these solvents</w:t>
      </w:r>
      <w:r w:rsidR="000B588C">
        <w:rPr>
          <w:lang w:val="en-US"/>
        </w:rPr>
        <w:t xml:space="preserve"> </w:t>
      </w:r>
      <w:r w:rsidR="00877E3D">
        <w:rPr>
          <w:lang w:val="en-US"/>
        </w:rPr>
        <w:t>(Fig. 1)</w:t>
      </w:r>
      <w:r w:rsidR="00373EF1">
        <w:rPr>
          <w:lang w:val="en-US"/>
        </w:rPr>
        <w:t xml:space="preserve"> </w:t>
      </w:r>
      <w:r w:rsidR="0080185A">
        <w:rPr>
          <w:lang w:val="en-US"/>
        </w:rPr>
        <w:t xml:space="preserve">and the </w:t>
      </w:r>
      <w:r w:rsidR="00C92B3B">
        <w:rPr>
          <w:lang w:val="en-US"/>
        </w:rPr>
        <w:t>potentially new</w:t>
      </w:r>
      <w:r w:rsidR="00B443E3">
        <w:rPr>
          <w:lang w:val="en-US"/>
        </w:rPr>
        <w:t xml:space="preserve"> inorganic</w:t>
      </w:r>
      <w:r w:rsidR="00C92B3B">
        <w:rPr>
          <w:lang w:val="en-US"/>
        </w:rPr>
        <w:t xml:space="preserve"> </w:t>
      </w:r>
      <w:r w:rsidR="00DC3F17">
        <w:rPr>
          <w:lang w:val="en-US"/>
        </w:rPr>
        <w:t>materials</w:t>
      </w:r>
      <w:r w:rsidR="00F774B1">
        <w:rPr>
          <w:lang w:val="en-US"/>
        </w:rPr>
        <w:t xml:space="preserve"> for electrochemical energy storage</w:t>
      </w:r>
      <w:r w:rsidR="00DC3F17">
        <w:rPr>
          <w:lang w:val="en-US"/>
        </w:rPr>
        <w:t xml:space="preserve"> </w:t>
      </w:r>
      <w:r w:rsidR="00C92B3B">
        <w:rPr>
          <w:lang w:val="en-US"/>
        </w:rPr>
        <w:t xml:space="preserve">resulting </w:t>
      </w:r>
      <w:r w:rsidR="004F120F">
        <w:rPr>
          <w:lang w:val="en-US"/>
        </w:rPr>
        <w:t xml:space="preserve">from their </w:t>
      </w:r>
      <w:r w:rsidR="00AA53F2">
        <w:rPr>
          <w:lang w:val="en-US"/>
        </w:rPr>
        <w:t xml:space="preserve">use </w:t>
      </w:r>
      <w:r w:rsidR="004F120F">
        <w:rPr>
          <w:lang w:val="en-US"/>
        </w:rPr>
        <w:t xml:space="preserve">as solvents </w:t>
      </w:r>
      <w:r w:rsidR="00EF3079">
        <w:rPr>
          <w:lang w:val="en-US"/>
        </w:rPr>
        <w:t>[</w:t>
      </w:r>
      <w:r w:rsidR="00EF3079" w:rsidRPr="004D2329">
        <w:rPr>
          <w:lang w:val="en-US"/>
        </w:rPr>
        <w:t>3,4</w:t>
      </w:r>
      <w:r w:rsidR="00EF3079">
        <w:rPr>
          <w:lang w:val="en-US"/>
        </w:rPr>
        <w:t>]</w:t>
      </w:r>
      <w:r w:rsidR="00C92B3B">
        <w:rPr>
          <w:lang w:val="en-US"/>
        </w:rPr>
        <w:t>.</w:t>
      </w:r>
    </w:p>
    <w:p w14:paraId="1E9FC282" w14:textId="77777777" w:rsidR="00EC0202" w:rsidRPr="00F56E69" w:rsidRDefault="00EC0202">
      <w:pPr>
        <w:rPr>
          <w:lang w:val="en-US"/>
        </w:rPr>
      </w:pPr>
    </w:p>
    <w:p w14:paraId="5EC97A65" w14:textId="5C3E8E32" w:rsidR="006722CC" w:rsidRDefault="00AA53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C97A73" wp14:editId="6D4576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2865C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HNXQIAALE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LzkMc1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 w:rsidR="00204844">
        <w:rPr>
          <w:noProof/>
        </w:rPr>
        <w:drawing>
          <wp:inline distT="0" distB="0" distL="0" distR="0" wp14:anchorId="66E1FF4F" wp14:editId="7D430214">
            <wp:extent cx="4645660" cy="2007106"/>
            <wp:effectExtent l="0" t="0" r="2540" b="0"/>
            <wp:docPr id="917743636" name="Picture 2" descr="A screen shot of a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743636" name="Picture 2" descr="A screen shot of a diagram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329" cy="203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B802F" w14:textId="466F6344" w:rsidR="00946428" w:rsidRDefault="00F774B1" w:rsidP="0042212A">
      <w:pPr>
        <w:pStyle w:val="Heading6"/>
        <w:rPr>
          <w:sz w:val="18"/>
          <w:szCs w:val="20"/>
        </w:rPr>
      </w:pPr>
      <w:r w:rsidRPr="0042212A">
        <w:rPr>
          <w:b/>
          <w:sz w:val="18"/>
          <w:szCs w:val="20"/>
        </w:rPr>
        <w:t>Figure 1</w:t>
      </w:r>
      <w:r w:rsidRPr="0042212A">
        <w:rPr>
          <w:sz w:val="18"/>
          <w:szCs w:val="20"/>
        </w:rPr>
        <w:t xml:space="preserve">. </w:t>
      </w:r>
      <w:r w:rsidR="0042212A">
        <w:rPr>
          <w:sz w:val="18"/>
          <w:szCs w:val="20"/>
        </w:rPr>
        <w:t xml:space="preserve">Illustration of the differences </w:t>
      </w:r>
      <w:r w:rsidR="003933AB">
        <w:rPr>
          <w:sz w:val="18"/>
          <w:szCs w:val="20"/>
        </w:rPr>
        <w:t>and</w:t>
      </w:r>
      <w:r w:rsidR="0042212A">
        <w:rPr>
          <w:sz w:val="18"/>
          <w:szCs w:val="20"/>
        </w:rPr>
        <w:t xml:space="preserve"> complementarity </w:t>
      </w:r>
      <w:r w:rsidR="003933AB">
        <w:rPr>
          <w:sz w:val="18"/>
          <w:szCs w:val="20"/>
        </w:rPr>
        <w:t>of Ionic Liquids and Deep Eutectic Solvents</w:t>
      </w:r>
    </w:p>
    <w:p w14:paraId="46FD86D8" w14:textId="77777777" w:rsidR="003933AB" w:rsidRPr="003933AB" w:rsidRDefault="003933AB" w:rsidP="003933AB"/>
    <w:p w14:paraId="617D4864" w14:textId="4FF23E85" w:rsidR="003B6813" w:rsidRDefault="00F774B1" w:rsidP="003B6813">
      <w:pPr>
        <w:pStyle w:val="Bibliography"/>
        <w:rPr>
          <w:sz w:val="18"/>
          <w:szCs w:val="18"/>
          <w:lang w:val="fr-FR"/>
        </w:rPr>
      </w:pPr>
      <w:r w:rsidRPr="003B6813">
        <w:rPr>
          <w:lang w:val="fr-FR"/>
        </w:rPr>
        <w:t xml:space="preserve">[1] </w:t>
      </w:r>
      <w:proofErr w:type="spellStart"/>
      <w:r w:rsidR="003B6813" w:rsidRPr="003B6813">
        <w:rPr>
          <w:sz w:val="18"/>
          <w:szCs w:val="18"/>
          <w:lang w:val="fr-FR"/>
        </w:rPr>
        <w:t>McCalla</w:t>
      </w:r>
      <w:proofErr w:type="spellEnd"/>
      <w:r w:rsidR="003B6813" w:rsidRPr="003B6813">
        <w:rPr>
          <w:sz w:val="18"/>
          <w:szCs w:val="18"/>
          <w:lang w:val="fr-FR"/>
        </w:rPr>
        <w:t xml:space="preserve">, E. (2023) </w:t>
      </w:r>
      <w:r w:rsidR="003B6813" w:rsidRPr="003B6813">
        <w:rPr>
          <w:i/>
          <w:iCs/>
          <w:sz w:val="18"/>
          <w:szCs w:val="18"/>
          <w:lang w:val="fr-FR"/>
        </w:rPr>
        <w:t>ACS Eng. Au</w:t>
      </w:r>
      <w:r w:rsidR="003B6813" w:rsidRPr="003B6813">
        <w:rPr>
          <w:sz w:val="18"/>
          <w:szCs w:val="18"/>
          <w:lang w:val="fr-FR"/>
        </w:rPr>
        <w:t xml:space="preserve">, </w:t>
      </w:r>
      <w:r w:rsidR="003B6813" w:rsidRPr="003B6813">
        <w:rPr>
          <w:i/>
          <w:iCs/>
          <w:sz w:val="18"/>
          <w:szCs w:val="18"/>
          <w:lang w:val="fr-FR"/>
        </w:rPr>
        <w:t>3</w:t>
      </w:r>
      <w:r w:rsidR="003B6813" w:rsidRPr="003B6813">
        <w:rPr>
          <w:sz w:val="18"/>
          <w:szCs w:val="18"/>
          <w:lang w:val="fr-FR"/>
        </w:rPr>
        <w:t xml:space="preserve"> (6), 391–402.</w:t>
      </w:r>
    </w:p>
    <w:p w14:paraId="3845560E" w14:textId="35BAC155" w:rsidR="00646B9B" w:rsidRPr="00AA53F2" w:rsidRDefault="00F774B1" w:rsidP="003B6813">
      <w:pPr>
        <w:pStyle w:val="Bibliography"/>
        <w:rPr>
          <w:sz w:val="18"/>
          <w:szCs w:val="18"/>
          <w:lang w:val="en-US"/>
        </w:rPr>
      </w:pPr>
      <w:r w:rsidRPr="0055267D">
        <w:rPr>
          <w:sz w:val="18"/>
          <w:szCs w:val="18"/>
          <w:lang w:val="fr-FR"/>
        </w:rPr>
        <w:t>[2]</w:t>
      </w:r>
      <w:r w:rsidR="007C61A1">
        <w:rPr>
          <w:sz w:val="18"/>
          <w:szCs w:val="18"/>
          <w:lang w:val="fr-FR"/>
        </w:rPr>
        <w:t xml:space="preserve"> </w:t>
      </w:r>
      <w:proofErr w:type="spellStart"/>
      <w:r w:rsidR="0055267D" w:rsidRPr="0055267D">
        <w:rPr>
          <w:sz w:val="18"/>
          <w:szCs w:val="18"/>
          <w:lang w:val="fr-FR"/>
        </w:rPr>
        <w:t>Arcelus</w:t>
      </w:r>
      <w:proofErr w:type="spellEnd"/>
      <w:r w:rsidR="0055267D" w:rsidRPr="0055267D">
        <w:rPr>
          <w:sz w:val="18"/>
          <w:szCs w:val="18"/>
          <w:lang w:val="fr-FR"/>
        </w:rPr>
        <w:t xml:space="preserve">, O., </w:t>
      </w:r>
      <w:proofErr w:type="spellStart"/>
      <w:r w:rsidR="0055267D" w:rsidRPr="0055267D">
        <w:rPr>
          <w:sz w:val="18"/>
          <w:szCs w:val="18"/>
          <w:lang w:val="fr-FR"/>
        </w:rPr>
        <w:t>Rodríguez-Carvajal</w:t>
      </w:r>
      <w:proofErr w:type="spellEnd"/>
      <w:r w:rsidR="0055267D" w:rsidRPr="0055267D">
        <w:rPr>
          <w:sz w:val="18"/>
          <w:szCs w:val="18"/>
          <w:lang w:val="fr-FR"/>
        </w:rPr>
        <w:t>, J., Katcho, N. A., Reynaud, M., Black, A. P., Chatzogiannakis, D.,</w:t>
      </w:r>
      <w:r w:rsidR="00BB398D">
        <w:rPr>
          <w:sz w:val="18"/>
          <w:szCs w:val="18"/>
          <w:lang w:val="fr-FR"/>
        </w:rPr>
        <w:t xml:space="preserve"> </w:t>
      </w:r>
      <w:r w:rsidR="00BB398D" w:rsidRPr="00BB398D">
        <w:rPr>
          <w:sz w:val="18"/>
          <w:szCs w:val="18"/>
          <w:lang w:val="fr-FR"/>
        </w:rPr>
        <w:t xml:space="preserve">Carlos </w:t>
      </w:r>
      <w:proofErr w:type="spellStart"/>
      <w:r w:rsidR="00BB398D" w:rsidRPr="00BB398D">
        <w:rPr>
          <w:sz w:val="18"/>
          <w:szCs w:val="18"/>
          <w:lang w:val="fr-FR"/>
        </w:rPr>
        <w:t>Fronterab</w:t>
      </w:r>
      <w:proofErr w:type="spellEnd"/>
      <w:r w:rsidR="00BB398D" w:rsidRPr="00BB398D">
        <w:rPr>
          <w:sz w:val="18"/>
          <w:szCs w:val="18"/>
          <w:lang w:val="fr-FR"/>
        </w:rPr>
        <w:t>, Jon Serrano-</w:t>
      </w:r>
      <w:proofErr w:type="spellStart"/>
      <w:r w:rsidR="00BB398D" w:rsidRPr="00BB398D">
        <w:rPr>
          <w:sz w:val="18"/>
          <w:szCs w:val="18"/>
          <w:lang w:val="fr-FR"/>
        </w:rPr>
        <w:t>Sevillanoa</w:t>
      </w:r>
      <w:proofErr w:type="spellEnd"/>
      <w:r w:rsidR="00BB398D" w:rsidRPr="00BB398D">
        <w:rPr>
          <w:sz w:val="18"/>
          <w:szCs w:val="18"/>
          <w:lang w:val="fr-FR"/>
        </w:rPr>
        <w:t xml:space="preserve">, Maha </w:t>
      </w:r>
      <w:proofErr w:type="spellStart"/>
      <w:r w:rsidR="00BB398D" w:rsidRPr="00BB398D">
        <w:rPr>
          <w:sz w:val="18"/>
          <w:szCs w:val="18"/>
          <w:lang w:val="fr-FR"/>
        </w:rPr>
        <w:t>Ismailae</w:t>
      </w:r>
      <w:proofErr w:type="spellEnd"/>
      <w:r w:rsidR="00BB398D" w:rsidRPr="00BB398D">
        <w:rPr>
          <w:sz w:val="18"/>
          <w:szCs w:val="18"/>
          <w:lang w:val="fr-FR"/>
        </w:rPr>
        <w:t xml:space="preserve">, Javier </w:t>
      </w:r>
      <w:proofErr w:type="spellStart"/>
      <w:r w:rsidR="00BB398D" w:rsidRPr="00BB398D">
        <w:rPr>
          <w:sz w:val="18"/>
          <w:szCs w:val="18"/>
          <w:lang w:val="fr-FR"/>
        </w:rPr>
        <w:t>Carrascoaf</w:t>
      </w:r>
      <w:proofErr w:type="spellEnd"/>
      <w:r w:rsidR="00BB398D" w:rsidRPr="00BB398D">
        <w:rPr>
          <w:sz w:val="18"/>
          <w:szCs w:val="18"/>
          <w:lang w:val="fr-FR"/>
        </w:rPr>
        <w:t xml:space="preserve">, </w:t>
      </w:r>
      <w:proofErr w:type="spellStart"/>
      <w:r w:rsidR="00BB398D" w:rsidRPr="00BB398D">
        <w:rPr>
          <w:sz w:val="18"/>
          <w:szCs w:val="18"/>
          <w:lang w:val="fr-FR"/>
        </w:rPr>
        <w:t>Francois</w:t>
      </w:r>
      <w:proofErr w:type="spellEnd"/>
      <w:r w:rsidR="00BB398D" w:rsidRPr="00BB398D">
        <w:rPr>
          <w:sz w:val="18"/>
          <w:szCs w:val="18"/>
          <w:lang w:val="fr-FR"/>
        </w:rPr>
        <w:t xml:space="preserve"> </w:t>
      </w:r>
      <w:proofErr w:type="spellStart"/>
      <w:r w:rsidR="00BB398D" w:rsidRPr="00BB398D">
        <w:rPr>
          <w:sz w:val="18"/>
          <w:szCs w:val="18"/>
          <w:lang w:val="fr-FR"/>
        </w:rPr>
        <w:t>Fauthg</w:t>
      </w:r>
      <w:proofErr w:type="spellEnd"/>
      <w:r w:rsidR="00BB398D" w:rsidRPr="00BB398D">
        <w:rPr>
          <w:sz w:val="18"/>
          <w:szCs w:val="18"/>
          <w:lang w:val="fr-FR"/>
        </w:rPr>
        <w:t xml:space="preserve">, M. Rosa </w:t>
      </w:r>
      <w:proofErr w:type="spellStart"/>
      <w:r w:rsidR="00BB398D" w:rsidRPr="00BB398D">
        <w:rPr>
          <w:sz w:val="18"/>
          <w:szCs w:val="18"/>
          <w:lang w:val="fr-FR"/>
        </w:rPr>
        <w:t>Palacinb</w:t>
      </w:r>
      <w:proofErr w:type="spellEnd"/>
      <w:r w:rsidR="0055267D" w:rsidRPr="0055267D">
        <w:rPr>
          <w:sz w:val="18"/>
          <w:szCs w:val="18"/>
          <w:lang w:val="fr-FR"/>
        </w:rPr>
        <w:t xml:space="preserve"> </w:t>
      </w:r>
      <w:r w:rsidR="0055267D" w:rsidRPr="00BB398D">
        <w:rPr>
          <w:sz w:val="18"/>
          <w:szCs w:val="18"/>
          <w:lang w:val="fr-FR"/>
        </w:rPr>
        <w:t>&amp; Casas-Cabanas, M. (2024).</w:t>
      </w:r>
      <w:r w:rsidR="007C61A1" w:rsidRPr="00BB398D">
        <w:rPr>
          <w:sz w:val="18"/>
          <w:szCs w:val="18"/>
          <w:lang w:val="fr-FR"/>
        </w:rPr>
        <w:t xml:space="preserve"> </w:t>
      </w:r>
      <w:r w:rsidR="0055267D" w:rsidRPr="00AA53F2">
        <w:rPr>
          <w:i/>
          <w:iCs/>
          <w:sz w:val="18"/>
          <w:szCs w:val="18"/>
          <w:lang w:val="en-US"/>
        </w:rPr>
        <w:t>Applied Crystallography</w:t>
      </w:r>
      <w:r w:rsidR="0055267D" w:rsidRPr="00AA53F2">
        <w:rPr>
          <w:sz w:val="18"/>
          <w:szCs w:val="18"/>
          <w:lang w:val="en-US"/>
        </w:rPr>
        <w:t>, </w:t>
      </w:r>
      <w:r w:rsidR="0055267D" w:rsidRPr="00AA53F2">
        <w:rPr>
          <w:i/>
          <w:iCs/>
          <w:sz w:val="18"/>
          <w:szCs w:val="18"/>
          <w:lang w:val="en-US"/>
        </w:rPr>
        <w:t>57</w:t>
      </w:r>
      <w:r w:rsidR="0055267D" w:rsidRPr="00AA53F2">
        <w:rPr>
          <w:sz w:val="18"/>
          <w:szCs w:val="18"/>
          <w:lang w:val="en-US"/>
        </w:rPr>
        <w:t>(5)</w:t>
      </w:r>
      <w:r w:rsidRPr="00AA53F2">
        <w:rPr>
          <w:sz w:val="18"/>
          <w:szCs w:val="18"/>
          <w:lang w:val="en-US"/>
        </w:rPr>
        <w:t>.</w:t>
      </w:r>
    </w:p>
    <w:p w14:paraId="72261D8C" w14:textId="59F8721E" w:rsidR="00646B9B" w:rsidRPr="00646B9B" w:rsidRDefault="00F774B1" w:rsidP="00646B9B">
      <w:pPr>
        <w:pStyle w:val="Bibliography"/>
        <w:rPr>
          <w:sz w:val="18"/>
          <w:szCs w:val="18"/>
        </w:rPr>
      </w:pPr>
      <w:r w:rsidRPr="00AA53F2">
        <w:rPr>
          <w:sz w:val="18"/>
          <w:szCs w:val="18"/>
          <w:lang w:val="en-US"/>
        </w:rPr>
        <w:t xml:space="preserve">[3] </w:t>
      </w:r>
      <w:r w:rsidR="007E6B36" w:rsidRPr="00AA53F2">
        <w:rPr>
          <w:sz w:val="18"/>
          <w:szCs w:val="18"/>
          <w:lang w:val="en-US"/>
        </w:rPr>
        <w:t xml:space="preserve">Minart, G., Duttine, M., Iadecola, A., </w:t>
      </w:r>
      <w:proofErr w:type="spellStart"/>
      <w:r w:rsidR="007E6B36" w:rsidRPr="00AA53F2">
        <w:rPr>
          <w:sz w:val="18"/>
          <w:szCs w:val="18"/>
          <w:lang w:val="en-US"/>
        </w:rPr>
        <w:t>Salvetat</w:t>
      </w:r>
      <w:proofErr w:type="spellEnd"/>
      <w:r w:rsidR="007E6B36" w:rsidRPr="00AA53F2">
        <w:rPr>
          <w:sz w:val="18"/>
          <w:szCs w:val="18"/>
          <w:lang w:val="en-US"/>
        </w:rPr>
        <w:t xml:space="preserve">, J. P., Weill, F., </w:t>
      </w:r>
      <w:proofErr w:type="spellStart"/>
      <w:r w:rsidR="007E6B36" w:rsidRPr="00AA53F2">
        <w:rPr>
          <w:sz w:val="18"/>
          <w:szCs w:val="18"/>
          <w:lang w:val="en-US"/>
        </w:rPr>
        <w:t>Buffiere</w:t>
      </w:r>
      <w:proofErr w:type="spellEnd"/>
      <w:r w:rsidR="007E6B36" w:rsidRPr="00AA53F2">
        <w:rPr>
          <w:sz w:val="18"/>
          <w:szCs w:val="18"/>
          <w:lang w:val="en-US"/>
        </w:rPr>
        <w:t xml:space="preserve">, S., </w:t>
      </w:r>
      <w:r w:rsidR="00132CCF" w:rsidRPr="00AA53F2">
        <w:rPr>
          <w:sz w:val="18"/>
          <w:szCs w:val="18"/>
          <w:lang w:val="en-US"/>
        </w:rPr>
        <w:t xml:space="preserve">Wernert R., </w:t>
      </w:r>
      <w:proofErr w:type="spellStart"/>
      <w:r w:rsidR="00132CCF" w:rsidRPr="00AA53F2">
        <w:rPr>
          <w:sz w:val="18"/>
          <w:szCs w:val="18"/>
          <w:lang w:val="en-US"/>
        </w:rPr>
        <w:t>Olchowka</w:t>
      </w:r>
      <w:proofErr w:type="spellEnd"/>
      <w:r w:rsidR="00132CCF" w:rsidRPr="00AA53F2">
        <w:rPr>
          <w:sz w:val="18"/>
          <w:szCs w:val="18"/>
          <w:lang w:val="en-US"/>
        </w:rPr>
        <w:t xml:space="preserve"> J.</w:t>
      </w:r>
      <w:r w:rsidR="007E6B36" w:rsidRPr="00AA53F2">
        <w:rPr>
          <w:sz w:val="18"/>
          <w:szCs w:val="18"/>
          <w:lang w:val="en-US"/>
        </w:rPr>
        <w:t xml:space="preserve"> &amp; Croguennec, L. (2024). </w:t>
      </w:r>
      <w:r w:rsidR="007E6B36" w:rsidRPr="007E6B36">
        <w:rPr>
          <w:i/>
          <w:iCs/>
          <w:sz w:val="18"/>
          <w:szCs w:val="18"/>
        </w:rPr>
        <w:t>Chemistry of Materials</w:t>
      </w:r>
      <w:r w:rsidR="007E6B36" w:rsidRPr="007E6B36">
        <w:rPr>
          <w:sz w:val="18"/>
          <w:szCs w:val="18"/>
        </w:rPr>
        <w:t>, </w:t>
      </w:r>
      <w:r w:rsidR="007E6B36" w:rsidRPr="007E6B36">
        <w:rPr>
          <w:i/>
          <w:iCs/>
          <w:sz w:val="18"/>
          <w:szCs w:val="18"/>
        </w:rPr>
        <w:t>36</w:t>
      </w:r>
      <w:r w:rsidR="007E6B36" w:rsidRPr="007E6B36">
        <w:rPr>
          <w:sz w:val="18"/>
          <w:szCs w:val="18"/>
        </w:rPr>
        <w:t>(20), 10186-10197</w:t>
      </w:r>
      <w:r w:rsidRPr="00646B9B">
        <w:rPr>
          <w:sz w:val="18"/>
          <w:szCs w:val="18"/>
        </w:rPr>
        <w:t>.</w:t>
      </w:r>
    </w:p>
    <w:p w14:paraId="5EC97A72" w14:textId="5E8DF94B" w:rsidR="006722CC" w:rsidRPr="005B6EE5" w:rsidRDefault="00F774B1" w:rsidP="00BB398D">
      <w:pPr>
        <w:pStyle w:val="Bibliography"/>
        <w:rPr>
          <w:sz w:val="18"/>
          <w:szCs w:val="18"/>
        </w:rPr>
      </w:pPr>
      <w:r w:rsidRPr="005B6EE5">
        <w:rPr>
          <w:sz w:val="18"/>
          <w:szCs w:val="18"/>
        </w:rPr>
        <w:t xml:space="preserve">[4] </w:t>
      </w:r>
      <w:r w:rsidR="00E52B0D" w:rsidRPr="005B6EE5">
        <w:rPr>
          <w:sz w:val="18"/>
          <w:szCs w:val="18"/>
        </w:rPr>
        <w:t xml:space="preserve">Minart, G., Fang, R., </w:t>
      </w:r>
      <w:proofErr w:type="spellStart"/>
      <w:r w:rsidR="00E52B0D" w:rsidRPr="005B6EE5">
        <w:rPr>
          <w:sz w:val="18"/>
          <w:szCs w:val="18"/>
        </w:rPr>
        <w:t>Labrugère-Sarroste</w:t>
      </w:r>
      <w:proofErr w:type="spellEnd"/>
      <w:r w:rsidR="00E52B0D" w:rsidRPr="005B6EE5">
        <w:rPr>
          <w:sz w:val="18"/>
          <w:szCs w:val="18"/>
        </w:rPr>
        <w:t xml:space="preserve">, C., Weill, F., </w:t>
      </w:r>
      <w:proofErr w:type="spellStart"/>
      <w:r w:rsidR="00E52B0D" w:rsidRPr="005B6EE5">
        <w:rPr>
          <w:sz w:val="18"/>
          <w:szCs w:val="18"/>
        </w:rPr>
        <w:t>Buffiere</w:t>
      </w:r>
      <w:proofErr w:type="spellEnd"/>
      <w:r w:rsidR="00E52B0D" w:rsidRPr="005B6EE5">
        <w:rPr>
          <w:sz w:val="18"/>
          <w:szCs w:val="18"/>
        </w:rPr>
        <w:t xml:space="preserve">, S., Cassaignon, S., </w:t>
      </w:r>
      <w:r w:rsidR="005B6EE5" w:rsidRPr="005B6EE5">
        <w:rPr>
          <w:sz w:val="18"/>
          <w:szCs w:val="18"/>
        </w:rPr>
        <w:t>Croguennec L.</w:t>
      </w:r>
      <w:r w:rsidR="00E52B0D" w:rsidRPr="005B6EE5">
        <w:rPr>
          <w:sz w:val="18"/>
          <w:szCs w:val="18"/>
        </w:rPr>
        <w:t xml:space="preserve"> </w:t>
      </w:r>
      <w:r w:rsidR="00E52B0D" w:rsidRPr="00E52B0D">
        <w:rPr>
          <w:sz w:val="18"/>
          <w:szCs w:val="18"/>
        </w:rPr>
        <w:t xml:space="preserve">&amp; </w:t>
      </w:r>
      <w:proofErr w:type="spellStart"/>
      <w:r w:rsidR="00E52B0D" w:rsidRPr="00E52B0D">
        <w:rPr>
          <w:sz w:val="18"/>
          <w:szCs w:val="18"/>
        </w:rPr>
        <w:t>Olchowka</w:t>
      </w:r>
      <w:proofErr w:type="spellEnd"/>
      <w:r w:rsidR="00E52B0D" w:rsidRPr="00E52B0D">
        <w:rPr>
          <w:sz w:val="18"/>
          <w:szCs w:val="18"/>
        </w:rPr>
        <w:t>, J. (2025). </w:t>
      </w:r>
      <w:r w:rsidR="00E52B0D" w:rsidRPr="00E52B0D">
        <w:rPr>
          <w:i/>
          <w:iCs/>
          <w:sz w:val="18"/>
          <w:szCs w:val="18"/>
        </w:rPr>
        <w:t>ACS Applied Materials &amp; Interfaces</w:t>
      </w:r>
      <w:r w:rsidR="00E52B0D" w:rsidRPr="00E52B0D">
        <w:rPr>
          <w:sz w:val="18"/>
          <w:szCs w:val="18"/>
        </w:rPr>
        <w:t>, </w:t>
      </w:r>
      <w:r w:rsidR="00E52B0D" w:rsidRPr="00E52B0D">
        <w:rPr>
          <w:i/>
          <w:iCs/>
          <w:sz w:val="18"/>
          <w:szCs w:val="18"/>
        </w:rPr>
        <w:t>17</w:t>
      </w:r>
      <w:r w:rsidR="00E52B0D" w:rsidRPr="00E52B0D">
        <w:rPr>
          <w:sz w:val="18"/>
          <w:szCs w:val="18"/>
        </w:rPr>
        <w:t>(10), 15301-15309.</w:t>
      </w:r>
    </w:p>
    <w:sectPr w:rsidR="006722CC" w:rsidRPr="005B6EE5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6FF10" w14:textId="77777777" w:rsidR="009D668D" w:rsidRDefault="009D668D">
      <w:pPr>
        <w:spacing w:after="0"/>
      </w:pPr>
      <w:r>
        <w:separator/>
      </w:r>
    </w:p>
  </w:endnote>
  <w:endnote w:type="continuationSeparator" w:id="0">
    <w:p w14:paraId="4A09262F" w14:textId="77777777" w:rsidR="009D668D" w:rsidRDefault="009D66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97A76" w14:textId="77777777" w:rsidR="006722CC" w:rsidRDefault="00F774B1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5EC97A77" w14:textId="77777777" w:rsidR="006722CC" w:rsidRDefault="006722CC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E629F" w14:textId="77777777" w:rsidR="009D668D" w:rsidRDefault="009D668D">
      <w:pPr>
        <w:spacing w:after="0"/>
      </w:pPr>
      <w:r>
        <w:separator/>
      </w:r>
    </w:p>
  </w:footnote>
  <w:footnote w:type="continuationSeparator" w:id="0">
    <w:p w14:paraId="6300D0B0" w14:textId="77777777" w:rsidR="009D668D" w:rsidRDefault="009D66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97A75" w14:textId="4EEF385B" w:rsidR="006722CC" w:rsidRDefault="00F774B1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 w:rsidR="00687D91">
      <w:t xml:space="preserve">                         </w:t>
    </w:r>
    <w:r>
      <w:rPr>
        <w:b/>
        <w:bCs/>
      </w:rPr>
      <w:t>M</w:t>
    </w:r>
    <w:r w:rsidR="00CB386D">
      <w:rPr>
        <w:b/>
        <w:bCs/>
      </w:rPr>
      <w:t>aterial</w:t>
    </w:r>
    <w:r w:rsidR="005D682D">
      <w:rPr>
        <w:b/>
        <w:bCs/>
      </w:rPr>
      <w:t>s for energy storage and conversion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CC"/>
    <w:rsid w:val="00001A6E"/>
    <w:rsid w:val="00002B01"/>
    <w:rsid w:val="00020515"/>
    <w:rsid w:val="00037CC5"/>
    <w:rsid w:val="000553A4"/>
    <w:rsid w:val="00062B39"/>
    <w:rsid w:val="000A0F58"/>
    <w:rsid w:val="000B588C"/>
    <w:rsid w:val="00101BA9"/>
    <w:rsid w:val="00132CCF"/>
    <w:rsid w:val="00145E61"/>
    <w:rsid w:val="001471BB"/>
    <w:rsid w:val="001478D5"/>
    <w:rsid w:val="0016265E"/>
    <w:rsid w:val="001A2CDD"/>
    <w:rsid w:val="00202CAE"/>
    <w:rsid w:val="00204844"/>
    <w:rsid w:val="00215A42"/>
    <w:rsid w:val="002242A9"/>
    <w:rsid w:val="00282298"/>
    <w:rsid w:val="002E282C"/>
    <w:rsid w:val="00320F62"/>
    <w:rsid w:val="00326E35"/>
    <w:rsid w:val="00373EF1"/>
    <w:rsid w:val="003933AB"/>
    <w:rsid w:val="003A6ABE"/>
    <w:rsid w:val="003A7F90"/>
    <w:rsid w:val="003B6813"/>
    <w:rsid w:val="0042212A"/>
    <w:rsid w:val="004A1E3C"/>
    <w:rsid w:val="004B1E8C"/>
    <w:rsid w:val="004D2329"/>
    <w:rsid w:val="004F120F"/>
    <w:rsid w:val="00542341"/>
    <w:rsid w:val="005431D3"/>
    <w:rsid w:val="0054578A"/>
    <w:rsid w:val="005473AD"/>
    <w:rsid w:val="0055267D"/>
    <w:rsid w:val="00565E28"/>
    <w:rsid w:val="005B6EE5"/>
    <w:rsid w:val="005D682D"/>
    <w:rsid w:val="005E5AD1"/>
    <w:rsid w:val="005F332E"/>
    <w:rsid w:val="00613BA8"/>
    <w:rsid w:val="00613F45"/>
    <w:rsid w:val="00631021"/>
    <w:rsid w:val="006325F5"/>
    <w:rsid w:val="00646B9B"/>
    <w:rsid w:val="00667DF1"/>
    <w:rsid w:val="006722CC"/>
    <w:rsid w:val="006829A2"/>
    <w:rsid w:val="00687D91"/>
    <w:rsid w:val="006B05AF"/>
    <w:rsid w:val="006D62ED"/>
    <w:rsid w:val="006F636C"/>
    <w:rsid w:val="007326F8"/>
    <w:rsid w:val="00765328"/>
    <w:rsid w:val="007B05B3"/>
    <w:rsid w:val="007C61A1"/>
    <w:rsid w:val="007E27FA"/>
    <w:rsid w:val="007E6B36"/>
    <w:rsid w:val="007F3C87"/>
    <w:rsid w:val="0080185A"/>
    <w:rsid w:val="00806F31"/>
    <w:rsid w:val="008363E7"/>
    <w:rsid w:val="008611CD"/>
    <w:rsid w:val="00877E3D"/>
    <w:rsid w:val="008A75C7"/>
    <w:rsid w:val="008B4E83"/>
    <w:rsid w:val="009074FF"/>
    <w:rsid w:val="00946428"/>
    <w:rsid w:val="00972F72"/>
    <w:rsid w:val="00977A3F"/>
    <w:rsid w:val="009A468A"/>
    <w:rsid w:val="009A6EBE"/>
    <w:rsid w:val="009D668D"/>
    <w:rsid w:val="00A276A3"/>
    <w:rsid w:val="00A81B19"/>
    <w:rsid w:val="00A90B45"/>
    <w:rsid w:val="00AA53F2"/>
    <w:rsid w:val="00AC1AE1"/>
    <w:rsid w:val="00AD2C76"/>
    <w:rsid w:val="00AE3FE0"/>
    <w:rsid w:val="00AF0381"/>
    <w:rsid w:val="00AF57DC"/>
    <w:rsid w:val="00B41A4F"/>
    <w:rsid w:val="00B443E3"/>
    <w:rsid w:val="00B67745"/>
    <w:rsid w:val="00B70AC9"/>
    <w:rsid w:val="00BB398D"/>
    <w:rsid w:val="00BF076E"/>
    <w:rsid w:val="00BF2C66"/>
    <w:rsid w:val="00C00601"/>
    <w:rsid w:val="00C210A5"/>
    <w:rsid w:val="00C21A09"/>
    <w:rsid w:val="00C818C9"/>
    <w:rsid w:val="00C92B3B"/>
    <w:rsid w:val="00CB386D"/>
    <w:rsid w:val="00CC04F0"/>
    <w:rsid w:val="00D07842"/>
    <w:rsid w:val="00D41D04"/>
    <w:rsid w:val="00D52CEB"/>
    <w:rsid w:val="00DB0575"/>
    <w:rsid w:val="00DC3F17"/>
    <w:rsid w:val="00DC4296"/>
    <w:rsid w:val="00DD26D6"/>
    <w:rsid w:val="00DD5E84"/>
    <w:rsid w:val="00DF7D84"/>
    <w:rsid w:val="00E13BAE"/>
    <w:rsid w:val="00E17091"/>
    <w:rsid w:val="00E31519"/>
    <w:rsid w:val="00E317C0"/>
    <w:rsid w:val="00E40870"/>
    <w:rsid w:val="00E52B0D"/>
    <w:rsid w:val="00E945D0"/>
    <w:rsid w:val="00EB2CCB"/>
    <w:rsid w:val="00EC0202"/>
    <w:rsid w:val="00ED06A7"/>
    <w:rsid w:val="00ED5700"/>
    <w:rsid w:val="00EF3079"/>
    <w:rsid w:val="00F20487"/>
    <w:rsid w:val="00F35CA1"/>
    <w:rsid w:val="00F4204B"/>
    <w:rsid w:val="00F45E04"/>
    <w:rsid w:val="00F56E69"/>
    <w:rsid w:val="00F6339F"/>
    <w:rsid w:val="00F63F51"/>
    <w:rsid w:val="00F7044C"/>
    <w:rsid w:val="00F774B1"/>
    <w:rsid w:val="00F91ED6"/>
    <w:rsid w:val="00FD0E73"/>
    <w:rsid w:val="00FD2F6C"/>
    <w:rsid w:val="00FD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97A5D"/>
  <w15:docId w15:val="{86F15B64-63A7-4354-B63A-F534379B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ED5700"/>
  </w:style>
  <w:style w:type="character" w:styleId="CommentReference">
    <w:name w:val="annotation reference"/>
    <w:basedOn w:val="DefaultParagraphFont"/>
    <w:uiPriority w:val="99"/>
    <w:semiHidden/>
    <w:unhideWhenUsed/>
    <w:rsid w:val="00AA5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3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3F2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3F2"/>
    <w:rPr>
      <w:b/>
      <w:bCs/>
      <w:lang w:eastAsia="de-DE"/>
    </w:rPr>
  </w:style>
  <w:style w:type="paragraph" w:styleId="Revision">
    <w:name w:val="Revision"/>
    <w:hidden/>
    <w:uiPriority w:val="99"/>
    <w:semiHidden/>
    <w:rsid w:val="00DF7D84"/>
    <w:pPr>
      <w:suppressAutoHyphens w:val="0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0E009-0004-4AC5-8B55-04EAE4A8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499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Gäel Minart</cp:lastModifiedBy>
  <cp:revision>10</cp:revision>
  <cp:lastPrinted>2025-06-23T09:40:00Z</cp:lastPrinted>
  <dcterms:created xsi:type="dcterms:W3CDTF">2025-06-10T08:22:00Z</dcterms:created>
  <dcterms:modified xsi:type="dcterms:W3CDTF">2025-06-23T09:41:00Z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ZOTERO_PREF_1">
    <vt:lpwstr>&lt;data data-version="3" zotero-version="7.0.15"&gt;&lt;session id="xpYd1Emb"/&gt;&lt;style id="http://www.zotero.org/styles/american-chemical-society" hasBibliography="1" bibliographyStyleHasBeenSet="1"/&gt;&lt;prefs&gt;&lt;pref name="fieldType" value="Field"/&gt;&lt;/prefs&gt;&lt;/data&gt;</vt:lpwstr>
  </property>
  <property fmtid="{D5CDD505-2E9C-101B-9397-08002B2CF9AE}" pid="7" name="Docear4Word_StyleTitle">
    <vt:lpwstr>ACM SIG Proceedings With Long Author List</vt:lpwstr>
  </property>
</Properties>
</file>