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B04AD" w14:textId="230A8D1C" w:rsidR="006647E2" w:rsidRDefault="006F72D9">
      <w:pPr>
        <w:pStyle w:val="Heading1"/>
      </w:pPr>
      <w:r>
        <w:t xml:space="preserve">Crystal symmetry and magnetic structures in frustrated and non-frustrated Ho systems </w:t>
      </w:r>
    </w:p>
    <w:p w14:paraId="2F4AE338" w14:textId="3AAD0191" w:rsidR="006F72D9" w:rsidRPr="000C4AC0" w:rsidRDefault="006F72D9" w:rsidP="006F72D9">
      <w:pPr>
        <w:pStyle w:val="Heading2"/>
        <w:rPr>
          <w:lang w:val="pt-PT"/>
        </w:rPr>
      </w:pPr>
      <w:r w:rsidRPr="000C4AC0">
        <w:rPr>
          <w:lang w:val="pt-PT"/>
        </w:rPr>
        <w:t>M. S. Henriques</w:t>
      </w:r>
      <w:r>
        <w:rPr>
          <w:lang w:val="pt-PT"/>
        </w:rPr>
        <w:t>,</w:t>
      </w:r>
      <w:r w:rsidRPr="000C4AC0">
        <w:rPr>
          <w:vertAlign w:val="superscript"/>
          <w:lang w:val="pt-PT"/>
        </w:rPr>
        <w:t>1</w:t>
      </w:r>
      <w:r>
        <w:rPr>
          <w:vertAlign w:val="superscript"/>
          <w:lang w:val="pt-PT"/>
        </w:rPr>
        <w:t xml:space="preserve"> </w:t>
      </w:r>
      <w:r w:rsidRPr="000C4AC0">
        <w:rPr>
          <w:lang w:val="pt-PT"/>
        </w:rPr>
        <w:t>S. Goswa</w:t>
      </w:r>
      <w:r w:rsidR="003B29BF">
        <w:rPr>
          <w:lang w:val="pt-PT"/>
        </w:rPr>
        <w:t>m</w:t>
      </w:r>
      <w:r w:rsidRPr="000C4AC0">
        <w:rPr>
          <w:lang w:val="pt-PT"/>
        </w:rPr>
        <w:t>i,</w:t>
      </w:r>
      <w:r w:rsidRPr="000C4AC0">
        <w:rPr>
          <w:vertAlign w:val="superscript"/>
          <w:lang w:val="pt-PT"/>
        </w:rPr>
        <w:t>1</w:t>
      </w:r>
      <w:r>
        <w:rPr>
          <w:vertAlign w:val="superscript"/>
          <w:lang w:val="pt-PT"/>
        </w:rPr>
        <w:t xml:space="preserve">  </w:t>
      </w:r>
      <w:r w:rsidRPr="000C4AC0">
        <w:rPr>
          <w:lang w:val="pt-PT"/>
        </w:rPr>
        <w:t>V. Petříček,</w:t>
      </w:r>
      <w:r w:rsidRPr="000C4AC0">
        <w:rPr>
          <w:vertAlign w:val="superscript"/>
          <w:lang w:val="pt-PT"/>
        </w:rPr>
        <w:t>1</w:t>
      </w:r>
      <w:r w:rsidRPr="000C4AC0">
        <w:rPr>
          <w:lang w:val="pt-PT"/>
        </w:rPr>
        <w:t xml:space="preserve"> </w:t>
      </w:r>
    </w:p>
    <w:p w14:paraId="66FBB315" w14:textId="77777777" w:rsidR="006F72D9" w:rsidRDefault="006F72D9" w:rsidP="006F72D9">
      <w:pPr>
        <w:pStyle w:val="Heading3"/>
      </w:pPr>
      <w:r>
        <w:rPr>
          <w:vertAlign w:val="superscript"/>
        </w:rPr>
        <w:t>1</w:t>
      </w:r>
      <w:r>
        <w:t>FZU - Institute of Physics of the Czech Academy of Sciences, Prague, Czechia</w:t>
      </w:r>
    </w:p>
    <w:p w14:paraId="6B0FAE1D" w14:textId="17653CA5" w:rsidR="006647E2" w:rsidRDefault="006F72D9" w:rsidP="006F72D9">
      <w:pPr>
        <w:pStyle w:val="Heading3"/>
        <w:rPr>
          <w:sz w:val="18"/>
          <w:szCs w:val="18"/>
        </w:rPr>
      </w:pPr>
      <w:r>
        <w:t>henriques@fzu.cz</w:t>
      </w:r>
      <w:r>
        <w:rPr>
          <w:lang w:eastAsia="de-DE"/>
        </w:rPr>
        <w:br/>
      </w:r>
    </w:p>
    <w:p w14:paraId="7CADF9E9" w14:textId="31653962" w:rsidR="006F72D9" w:rsidRPr="00B577DE" w:rsidRDefault="006F72D9" w:rsidP="006F72D9">
      <w:r w:rsidRPr="00B577DE">
        <w:t xml:space="preserve">The question of what magnetic structure is realized in a crystal containing magnetic ions in the unit cell is in the </w:t>
      </w:r>
      <w:proofErr w:type="spellStart"/>
      <w:r w:rsidRPr="00B577DE">
        <w:t>center</w:t>
      </w:r>
      <w:proofErr w:type="spellEnd"/>
      <w:r w:rsidRPr="00B577DE">
        <w:t xml:space="preserve"> of many current problems in fundamental and applied modern physics. The role of crystal symmetry was long ago found paramount to solve this conundrum: the densities of the atomic magnetic moments will have arrangements compatible with the symmetry properties of the crystal under transformation keeping the energy invariant [1-4]. Current state-of-the-art in analysis and description of magnetic structures is the use of magnetic symmetry [5,6].  This approach is simple, unambiguous and robust, specifying the symmetry retained for all atoms (magnetic and not) and the magnetic symmetry broken during the transformation. </w:t>
      </w:r>
    </w:p>
    <w:p w14:paraId="42E49DC0" w14:textId="41931929" w:rsidR="00B577DE" w:rsidRPr="00B577DE" w:rsidRDefault="006F72D9" w:rsidP="00B577DE">
      <w:r w:rsidRPr="00B577DE">
        <w:t>The relationship between the crystal and magnetic structures of some Ho-based compounds will be discussed in terms of magnetic symmetry approach and the respective broken and/or unbroken symmetries that explain the key properties of the materials. For example, the evolution of the magnetic incommensurate modulations in the layered Ho</w:t>
      </w:r>
      <w:r w:rsidRPr="00B577DE">
        <w:rPr>
          <w:vertAlign w:val="subscript"/>
        </w:rPr>
        <w:t>3</w:t>
      </w:r>
      <w:r w:rsidRPr="00B577DE">
        <w:t xml:space="preserve">Co compound [7] is explained by a minimal symmetry-breaking from the paramagnetic to the antiferromagnetically ordered state. Two irreducible representations are active under the </w:t>
      </w:r>
      <w:proofErr w:type="spellStart"/>
      <w:r w:rsidRPr="00B577DE">
        <w:rPr>
          <w:i/>
          <w:iCs/>
        </w:rPr>
        <w:t>Pnm</w:t>
      </w:r>
      <w:r w:rsidRPr="00B577DE">
        <w:t>′</w:t>
      </w:r>
      <w:r w:rsidRPr="00B577DE">
        <w:rPr>
          <w:i/>
          <w:iCs/>
        </w:rPr>
        <w:t>a</w:t>
      </w:r>
      <w:proofErr w:type="spellEnd"/>
      <w:r w:rsidRPr="00B577DE">
        <w:t>(</w:t>
      </w:r>
      <w:r w:rsidRPr="00B577DE">
        <w:rPr>
          <w:i/>
          <w:iCs/>
        </w:rPr>
        <w:t>α</w:t>
      </w:r>
      <w:r w:rsidRPr="00B577DE">
        <w:t xml:space="preserve">00)000 magnetic </w:t>
      </w:r>
      <w:proofErr w:type="spellStart"/>
      <w:r w:rsidRPr="00B577DE">
        <w:t>superspace</w:t>
      </w:r>
      <w:proofErr w:type="spellEnd"/>
      <w:r w:rsidRPr="00B577DE">
        <w:t xml:space="preserve"> group, which allows a dynamic evolution of the magnetic structure with no further symmetry breaking. The onset of the low-temperature magnetic phase of HoB</w:t>
      </w:r>
      <w:r w:rsidRPr="00B577DE">
        <w:rPr>
          <w:vertAlign w:val="subscript"/>
        </w:rPr>
        <w:t>4</w:t>
      </w:r>
      <w:r w:rsidRPr="00B577DE">
        <w:rPr>
          <w:b/>
          <w:bCs/>
        </w:rPr>
        <w:t xml:space="preserve"> </w:t>
      </w:r>
      <w:r w:rsidRPr="00B577DE">
        <w:t xml:space="preserve">is accompanied by a monoclinic distortion coupled to </w:t>
      </w:r>
      <w:proofErr w:type="spellStart"/>
      <w:r w:rsidRPr="00B577DE">
        <w:t>ferroquadrupolar</w:t>
      </w:r>
      <w:proofErr w:type="spellEnd"/>
      <w:r w:rsidRPr="00B577DE">
        <w:t xml:space="preserve"> ordering of the Ho moments. This distortion, stabilizing the two-component magnetic structure, is a nonmagnetic order parameter carried under the magnetic space group </w:t>
      </w:r>
      <w:r w:rsidRPr="00B577DE">
        <w:rPr>
          <w:i/>
          <w:iCs/>
        </w:rPr>
        <w:t>P</w:t>
      </w:r>
      <w:r w:rsidRPr="00B577DE">
        <w:t>2</w:t>
      </w:r>
      <w:r w:rsidRPr="00B577DE">
        <w:rPr>
          <w:vertAlign w:val="subscript"/>
        </w:rPr>
        <w:t>1</w:t>
      </w:r>
      <w:r w:rsidRPr="00B577DE">
        <w:t>/</w:t>
      </w:r>
      <w:r w:rsidRPr="00B577DE">
        <w:rPr>
          <w:i/>
          <w:iCs/>
        </w:rPr>
        <w:t>c</w:t>
      </w:r>
      <w:r w:rsidRPr="00B577DE">
        <w:t>’ that satisfies the energy invariance with the magnetic and quadrupolar orders [8]. The magnetic structure of Ho</w:t>
      </w:r>
      <w:r w:rsidRPr="00B577DE">
        <w:rPr>
          <w:vertAlign w:val="subscript"/>
        </w:rPr>
        <w:t>3</w:t>
      </w:r>
      <w:r w:rsidRPr="00B577DE">
        <w:t>Ru</w:t>
      </w:r>
      <w:r w:rsidRPr="00B577DE">
        <w:rPr>
          <w:vertAlign w:val="subscript"/>
        </w:rPr>
        <w:t>4</w:t>
      </w:r>
      <w:r w:rsidRPr="00B577DE">
        <w:t>Al</w:t>
      </w:r>
      <w:r w:rsidRPr="00B577DE">
        <w:rPr>
          <w:vertAlign w:val="subscript"/>
        </w:rPr>
        <w:t>12</w:t>
      </w:r>
      <w:r w:rsidRPr="00B577DE">
        <w:t xml:space="preserve"> </w:t>
      </w:r>
      <w:r w:rsidR="003B29BF">
        <w:t>is d</w:t>
      </w:r>
      <w:r w:rsidRPr="00B577DE">
        <w:t>escribed by a monoclinic magnetic (3+2)-</w:t>
      </w:r>
      <w:proofErr w:type="spellStart"/>
      <w:r w:rsidRPr="00B577DE">
        <w:t>superspace</w:t>
      </w:r>
      <w:proofErr w:type="spellEnd"/>
      <w:r w:rsidRPr="00B577DE">
        <w:t xml:space="preserve"> group. </w:t>
      </w:r>
      <w:r w:rsidR="003B29BF">
        <w:t>It</w:t>
      </w:r>
      <w:r w:rsidRPr="00B577DE">
        <w:t xml:space="preserve"> </w:t>
      </w:r>
      <w:r w:rsidR="003B29BF">
        <w:t>can be explained as</w:t>
      </w:r>
      <w:r w:rsidRPr="00B577DE">
        <w:t xml:space="preserve"> a long period longitudinal </w:t>
      </w:r>
      <w:r w:rsidR="003B29BF">
        <w:t xml:space="preserve">amplitude modulated </w:t>
      </w:r>
      <w:r w:rsidRPr="00B577DE">
        <w:t xml:space="preserve">spin wave </w:t>
      </w:r>
      <w:r w:rsidR="002749ED">
        <w:t xml:space="preserve">propagating </w:t>
      </w:r>
      <w:r w:rsidRPr="00B577DE">
        <w:t xml:space="preserve">along the easy-axis and an in-plane transverse </w:t>
      </w:r>
      <w:r w:rsidR="003B29BF">
        <w:t xml:space="preserve">oblique </w:t>
      </w:r>
      <w:r w:rsidRPr="00B577DE">
        <w:t>spin wave. The symmetry breaking splits of the Ho position into two different orbits with different degrees of freedom</w:t>
      </w:r>
      <w:r w:rsidR="002749ED">
        <w:t>. Nevertheless, to satisfy the nearest-neighbour interaction</w:t>
      </w:r>
      <w:r w:rsidR="002749ED" w:rsidRPr="002749ED">
        <w:t xml:space="preserve"> </w:t>
      </w:r>
      <w:r w:rsidR="002749ED">
        <w:t>in the</w:t>
      </w:r>
      <w:r w:rsidR="002749ED">
        <w:t xml:space="preserve"> distorted</w:t>
      </w:r>
      <w:r w:rsidR="002749ED" w:rsidRPr="00B577DE">
        <w:t xml:space="preserve"> </w:t>
      </w:r>
      <w:proofErr w:type="spellStart"/>
      <w:r w:rsidR="002749ED" w:rsidRPr="00B577DE">
        <w:t>kagome</w:t>
      </w:r>
      <w:proofErr w:type="spellEnd"/>
      <w:r w:rsidR="002749ED" w:rsidRPr="00B577DE">
        <w:t xml:space="preserve"> lattice</w:t>
      </w:r>
      <w:r w:rsidR="002749ED">
        <w:t xml:space="preserve">, </w:t>
      </w:r>
      <w:r w:rsidR="003B29BF">
        <w:t>the spins remain coupled</w:t>
      </w:r>
      <w:r w:rsidR="004228A9">
        <w:t>. One of the consequences is that</w:t>
      </w:r>
      <w:r w:rsidR="002749ED">
        <w:t xml:space="preserve"> </w:t>
      </w:r>
      <w:r w:rsidRPr="00B577DE">
        <w:t xml:space="preserve">the Ho ‘trimer’ acts as a unit along the modulation. </w:t>
      </w:r>
    </w:p>
    <w:p w14:paraId="5784A691" w14:textId="77777777" w:rsidR="00B577DE" w:rsidRPr="00841507" w:rsidRDefault="00B577DE" w:rsidP="00B577DE">
      <w:pPr>
        <w:jc w:val="center"/>
      </w:pPr>
      <w:r w:rsidRPr="0084150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04EAD2" wp14:editId="07B15D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66498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CF53D" id="_x0000_tole_rId2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1"/>
      </w:tblGrid>
      <w:tr w:rsidR="00B577DE" w14:paraId="17B03B63" w14:textId="77777777" w:rsidTr="004A0ECF">
        <w:trPr>
          <w:trHeight w:val="1168"/>
          <w:jc w:val="center"/>
        </w:trPr>
        <w:tc>
          <w:tcPr>
            <w:tcW w:w="9431" w:type="dxa"/>
            <w:hideMark/>
          </w:tcPr>
          <w:p w14:paraId="16F6DE06" w14:textId="77777777" w:rsidR="00B577DE" w:rsidRDefault="00B577DE" w:rsidP="004A0EC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A6AF6EC" wp14:editId="348F9D71">
                  <wp:extent cx="5451475" cy="1662430"/>
                  <wp:effectExtent l="0" t="0" r="0" b="0"/>
                  <wp:docPr id="1622708006" name="Picture 3" descr="A diagram of a molecul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708006" name="Picture 3" descr="A diagram of a molecul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1475" cy="166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77DE" w14:paraId="46DFFC03" w14:textId="77777777" w:rsidTr="004A0ECF">
        <w:trPr>
          <w:trHeight w:val="400"/>
          <w:jc w:val="center"/>
        </w:trPr>
        <w:tc>
          <w:tcPr>
            <w:tcW w:w="9431" w:type="dxa"/>
            <w:hideMark/>
          </w:tcPr>
          <w:p w14:paraId="5EE30913" w14:textId="2C93DA8C" w:rsidR="00B577DE" w:rsidRDefault="00B577DE" w:rsidP="004A0ECF">
            <w:pPr>
              <w:pStyle w:val="Heading6"/>
            </w:pPr>
            <w:r>
              <w:rPr>
                <w:b/>
              </w:rPr>
              <w:t>Figure 1</w:t>
            </w:r>
            <w:r>
              <w:t>.</w:t>
            </w:r>
            <w:r w:rsidRPr="00B577DE">
              <w:t xml:space="preserve"> Spin modulation of Ho</w:t>
            </w:r>
            <w:r w:rsidRPr="00790EF7">
              <w:rPr>
                <w:vertAlign w:val="subscript"/>
              </w:rPr>
              <w:t>3</w:t>
            </w:r>
            <w:r w:rsidRPr="00B577DE">
              <w:t>Co at 18 K for Ho (blue) and Co (red) represented in a 5×1×1 supercell of the parent orthorhombic unit cell. The modulation of Ho1 and Ho2 is described as fanlike, with a fan spanning of 100°. The modulation of the Co spins is a circular cycloidal restricted to be parallel to (101).</w:t>
            </w:r>
          </w:p>
        </w:tc>
      </w:tr>
    </w:tbl>
    <w:p w14:paraId="15F42349" w14:textId="77777777" w:rsidR="00B577DE" w:rsidRDefault="00B577DE" w:rsidP="006F72D9">
      <w:pPr>
        <w:rPr>
          <w:sz w:val="18"/>
          <w:szCs w:val="18"/>
          <w:lang w:val="en-US"/>
        </w:rPr>
      </w:pPr>
    </w:p>
    <w:p w14:paraId="7C410316" w14:textId="62CDB617" w:rsidR="006F72D9" w:rsidRDefault="00345207" w:rsidP="00B577DE">
      <w:pPr>
        <w:pStyle w:val="Heading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DA79D9" wp14:editId="32E664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85817625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DFD44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B577DE">
        <w:rPr>
          <w:lang w:val="en-US"/>
        </w:rPr>
        <w:t xml:space="preserve">            </w:t>
      </w:r>
      <w:r w:rsidR="006F72D9" w:rsidRPr="006F72D9">
        <w:rPr>
          <w:lang w:val="en-US"/>
        </w:rPr>
        <w:t xml:space="preserve">[1] S. Alexander, </w:t>
      </w:r>
      <w:r w:rsidR="006F72D9" w:rsidRPr="006F72D9">
        <w:rPr>
          <w:i/>
          <w:iCs/>
          <w:lang w:val="en-US"/>
        </w:rPr>
        <w:t>Phys. Rev.</w:t>
      </w:r>
      <w:r w:rsidR="006F72D9" w:rsidRPr="006F72D9">
        <w:rPr>
          <w:lang w:val="en-US"/>
        </w:rPr>
        <w:t xml:space="preserve"> 127 (1962) 420.</w:t>
      </w:r>
      <w:r w:rsidR="00B577DE">
        <w:rPr>
          <w:lang w:val="en-US"/>
        </w:rPr>
        <w:t xml:space="preserve"> </w:t>
      </w:r>
      <w:r w:rsidR="006F72D9" w:rsidRPr="002749ED">
        <w:rPr>
          <w:lang w:val="pt-PT"/>
        </w:rPr>
        <w:t xml:space="preserve">[2] </w:t>
      </w:r>
      <w:r w:rsidR="006F72D9" w:rsidRPr="002749ED">
        <w:rPr>
          <w:rFonts w:eastAsia="Advt93-r"/>
          <w:lang w:val="pt-PT"/>
        </w:rPr>
        <w:t>N.V.</w:t>
      </w:r>
      <w:r w:rsidR="006F72D9" w:rsidRPr="002749ED">
        <w:rPr>
          <w:lang w:val="pt-PT"/>
        </w:rPr>
        <w:t xml:space="preserve"> </w:t>
      </w:r>
      <w:r w:rsidR="006F72D9" w:rsidRPr="002749ED">
        <w:rPr>
          <w:rFonts w:eastAsia="Advt93-r"/>
          <w:lang w:val="pt-PT"/>
        </w:rPr>
        <w:t xml:space="preserve">Belov, N.N. Neronova, &amp; T.S. Smirnova, </w:t>
      </w:r>
      <w:r w:rsidR="006F72D9" w:rsidRPr="002749ED">
        <w:rPr>
          <w:rFonts w:eastAsia="Advt93-r"/>
          <w:i/>
          <w:iCs/>
          <w:lang w:val="pt-PT"/>
        </w:rPr>
        <w:t>Kristallografiya</w:t>
      </w:r>
      <w:r w:rsidR="006F72D9" w:rsidRPr="002749ED">
        <w:rPr>
          <w:rFonts w:eastAsia="Advt93-r"/>
          <w:lang w:val="pt-PT"/>
        </w:rPr>
        <w:t xml:space="preserve"> 2</w:t>
      </w:r>
      <w:r w:rsidR="006F72D9" w:rsidRPr="002749ED">
        <w:rPr>
          <w:lang w:val="pt-PT"/>
        </w:rPr>
        <w:t xml:space="preserve"> </w:t>
      </w:r>
      <w:r w:rsidR="006F72D9" w:rsidRPr="002749ED">
        <w:rPr>
          <w:rFonts w:eastAsia="Advt93-r"/>
          <w:lang w:val="pt-PT"/>
        </w:rPr>
        <w:t>(1957) 315.</w:t>
      </w:r>
      <w:r w:rsidR="006F72D9" w:rsidRPr="002749ED">
        <w:rPr>
          <w:lang w:val="pt-PT"/>
        </w:rPr>
        <w:t xml:space="preserve"> </w:t>
      </w:r>
      <w:r w:rsidR="006F72D9" w:rsidRPr="006F72D9">
        <w:rPr>
          <w:lang w:val="en-US"/>
        </w:rPr>
        <w:t xml:space="preserve">[3] </w:t>
      </w:r>
      <w:r w:rsidR="006F72D9" w:rsidRPr="006F72D9">
        <w:t xml:space="preserve">E.F. </w:t>
      </w:r>
      <w:r w:rsidR="006F72D9" w:rsidRPr="006F72D9">
        <w:rPr>
          <w:lang w:val="en-US"/>
        </w:rPr>
        <w:t xml:space="preserve">Bertaut, </w:t>
      </w:r>
      <w:r w:rsidR="006F72D9" w:rsidRPr="006F72D9">
        <w:rPr>
          <w:i/>
          <w:iCs/>
        </w:rPr>
        <w:t>et al</w:t>
      </w:r>
      <w:r w:rsidR="006F72D9">
        <w:rPr>
          <w:i/>
          <w:iCs/>
        </w:rPr>
        <w:t>.</w:t>
      </w:r>
      <w:r w:rsidR="006F72D9" w:rsidRPr="006F72D9">
        <w:rPr>
          <w:i/>
          <w:iCs/>
        </w:rPr>
        <w:t>,</w:t>
      </w:r>
      <w:r w:rsidR="00B577DE">
        <w:rPr>
          <w:lang w:val="en-US"/>
        </w:rPr>
        <w:t xml:space="preserve"> </w:t>
      </w:r>
      <w:r w:rsidR="006F72D9" w:rsidRPr="006F72D9">
        <w:rPr>
          <w:i/>
          <w:iCs/>
          <w:lang w:val="en-US"/>
        </w:rPr>
        <w:t>Solid State Commun.</w:t>
      </w:r>
      <w:r w:rsidR="006F72D9" w:rsidRPr="006F72D9">
        <w:rPr>
          <w:lang w:val="en-US"/>
        </w:rPr>
        <w:t xml:space="preserve"> 5 (1967) 293</w:t>
      </w:r>
      <w:r w:rsidR="006F72D9" w:rsidRPr="006F72D9">
        <w:t>.</w:t>
      </w:r>
      <w:r w:rsidR="00B577DE">
        <w:t xml:space="preserve"> </w:t>
      </w:r>
      <w:r w:rsidR="006F72D9" w:rsidRPr="006F72D9">
        <w:rPr>
          <w:lang w:val="en-US"/>
        </w:rPr>
        <w:t>[</w:t>
      </w:r>
      <w:r w:rsidR="006F72D9" w:rsidRPr="006F72D9">
        <w:t>4</w:t>
      </w:r>
      <w:r w:rsidR="006F72D9" w:rsidRPr="006F72D9">
        <w:rPr>
          <w:lang w:val="en-US"/>
        </w:rPr>
        <w:t xml:space="preserve">] </w:t>
      </w:r>
      <w:r w:rsidR="006F72D9" w:rsidRPr="006F72D9">
        <w:t xml:space="preserve">W. </w:t>
      </w:r>
      <w:proofErr w:type="spellStart"/>
      <w:r w:rsidR="006F72D9" w:rsidRPr="006F72D9">
        <w:t>Opechowski</w:t>
      </w:r>
      <w:proofErr w:type="spellEnd"/>
      <w:r w:rsidR="006F72D9" w:rsidRPr="006F72D9">
        <w:t xml:space="preserve">, </w:t>
      </w:r>
      <w:r w:rsidR="006F72D9" w:rsidRPr="00C152C5">
        <w:rPr>
          <w:i/>
          <w:iCs/>
        </w:rPr>
        <w:t>Magnetism</w:t>
      </w:r>
      <w:r w:rsidR="006F72D9" w:rsidRPr="006F72D9">
        <w:t>, Ed. G.T. Rado and H. Suhl, Vol. I1 A, Academic Press, New York 1965</w:t>
      </w:r>
      <w:r w:rsidR="006F72D9">
        <w:t>.</w:t>
      </w:r>
      <w:r w:rsidR="00B577DE">
        <w:t xml:space="preserve"> </w:t>
      </w:r>
      <w:r w:rsidR="006F72D9" w:rsidRPr="004228A9">
        <w:t>[5] V. Petříček, J. Fuksa, &amp; M. Dušek</w:t>
      </w:r>
      <w:r w:rsidR="004228A9" w:rsidRPr="004228A9">
        <w:t xml:space="preserve">, </w:t>
      </w:r>
      <w:r w:rsidR="006F72D9" w:rsidRPr="004228A9">
        <w:rPr>
          <w:i/>
          <w:iCs/>
        </w:rPr>
        <w:t xml:space="preserve">Acta </w:t>
      </w:r>
      <w:proofErr w:type="spellStart"/>
      <w:r w:rsidR="006F72D9" w:rsidRPr="004228A9">
        <w:rPr>
          <w:i/>
          <w:iCs/>
        </w:rPr>
        <w:t>Cryst</w:t>
      </w:r>
      <w:proofErr w:type="spellEnd"/>
      <w:r w:rsidR="006F72D9" w:rsidRPr="004228A9">
        <w:rPr>
          <w:i/>
          <w:iCs/>
        </w:rPr>
        <w:t>.</w:t>
      </w:r>
      <w:r w:rsidR="006F72D9" w:rsidRPr="004228A9">
        <w:t xml:space="preserve"> </w:t>
      </w:r>
      <w:r w:rsidR="006F72D9" w:rsidRPr="006F72D9">
        <w:rPr>
          <w:lang w:val="pt-PT"/>
        </w:rPr>
        <w:t>A66</w:t>
      </w:r>
      <w:r w:rsidR="006F72D9">
        <w:rPr>
          <w:lang w:val="pt-PT"/>
        </w:rPr>
        <w:t xml:space="preserve"> (2010) </w:t>
      </w:r>
      <w:r w:rsidR="006F72D9" w:rsidRPr="006F72D9">
        <w:rPr>
          <w:lang w:val="pt-PT"/>
        </w:rPr>
        <w:t xml:space="preserve">649. </w:t>
      </w:r>
      <w:r w:rsidR="00B577DE">
        <w:rPr>
          <w:lang w:val="pt-PT"/>
        </w:rPr>
        <w:t xml:space="preserve"> </w:t>
      </w:r>
      <w:r w:rsidR="006F72D9" w:rsidRPr="002749ED">
        <w:t xml:space="preserve">[6] J. M. Perez-Mato, </w:t>
      </w:r>
      <w:r w:rsidR="006F72D9" w:rsidRPr="002749ED">
        <w:rPr>
          <w:i/>
          <w:iCs/>
        </w:rPr>
        <w:t>et al</w:t>
      </w:r>
      <w:r w:rsidR="006F72D9" w:rsidRPr="002749ED">
        <w:t xml:space="preserve">., </w:t>
      </w:r>
      <w:r w:rsidR="006F72D9" w:rsidRPr="002749ED">
        <w:rPr>
          <w:i/>
          <w:iCs/>
        </w:rPr>
        <w:t xml:space="preserve">Acta </w:t>
      </w:r>
      <w:proofErr w:type="spellStart"/>
      <w:r w:rsidR="006F72D9" w:rsidRPr="002749ED">
        <w:rPr>
          <w:i/>
          <w:iCs/>
        </w:rPr>
        <w:t>Cryst</w:t>
      </w:r>
      <w:proofErr w:type="spellEnd"/>
      <w:r w:rsidR="006F72D9" w:rsidRPr="002749ED">
        <w:rPr>
          <w:i/>
          <w:iCs/>
        </w:rPr>
        <w:t>.</w:t>
      </w:r>
      <w:r w:rsidR="006F72D9" w:rsidRPr="002749ED">
        <w:t xml:space="preserve"> </w:t>
      </w:r>
      <w:r w:rsidR="006F72D9" w:rsidRPr="006F72D9">
        <w:rPr>
          <w:lang w:val="en-US"/>
        </w:rPr>
        <w:t>B80</w:t>
      </w:r>
      <w:r w:rsidR="006F72D9">
        <w:rPr>
          <w:lang w:val="en-US"/>
        </w:rPr>
        <w:t xml:space="preserve"> (2024)</w:t>
      </w:r>
      <w:r w:rsidR="006F72D9" w:rsidRPr="006F72D9">
        <w:rPr>
          <w:lang w:val="en-US"/>
        </w:rPr>
        <w:t xml:space="preserve"> 219.</w:t>
      </w:r>
      <w:r w:rsidR="00B577DE">
        <w:rPr>
          <w:lang w:val="en-US"/>
        </w:rPr>
        <w:t xml:space="preserve"> </w:t>
      </w:r>
      <w:r w:rsidR="006F72D9" w:rsidRPr="006F72D9">
        <w:rPr>
          <w:lang w:val="en-US"/>
        </w:rPr>
        <w:t xml:space="preserve">[7] S. Goswami, </w:t>
      </w:r>
      <w:r w:rsidR="006F72D9" w:rsidRPr="006F72D9">
        <w:rPr>
          <w:i/>
          <w:iCs/>
          <w:lang w:val="en-US"/>
        </w:rPr>
        <w:t>et al</w:t>
      </w:r>
      <w:r w:rsidR="006F72D9" w:rsidRPr="006F72D9">
        <w:rPr>
          <w:lang w:val="en-US"/>
        </w:rPr>
        <w:t xml:space="preserve">., </w:t>
      </w:r>
      <w:r w:rsidR="006F72D9" w:rsidRPr="006F72D9">
        <w:rPr>
          <w:i/>
          <w:iCs/>
          <w:lang w:val="en-US"/>
        </w:rPr>
        <w:t>Phys. Rev. B</w:t>
      </w:r>
      <w:r w:rsidR="006F72D9">
        <w:rPr>
          <w:lang w:val="en-US"/>
        </w:rPr>
        <w:t xml:space="preserve"> </w:t>
      </w:r>
      <w:r w:rsidR="006F72D9" w:rsidRPr="006F72D9">
        <w:rPr>
          <w:lang w:val="en-US"/>
        </w:rPr>
        <w:t xml:space="preserve">109 (2024) 214417.[8] D. Gorbunov </w:t>
      </w:r>
      <w:r w:rsidR="006F72D9" w:rsidRPr="006F72D9">
        <w:rPr>
          <w:i/>
          <w:iCs/>
          <w:lang w:val="en-US"/>
        </w:rPr>
        <w:t>et al.</w:t>
      </w:r>
      <w:r w:rsidR="006F72D9" w:rsidRPr="006F72D9">
        <w:rPr>
          <w:lang w:val="en-US"/>
        </w:rPr>
        <w:t>, in</w:t>
      </w:r>
      <w:r w:rsidR="006F72D9" w:rsidRPr="006F72D9">
        <w:t xml:space="preserve"> preparation.</w:t>
      </w:r>
    </w:p>
    <w:p w14:paraId="7F12B307" w14:textId="77777777" w:rsidR="006F72D9" w:rsidRPr="006F72D9" w:rsidRDefault="006F72D9" w:rsidP="006F72D9">
      <w:pPr>
        <w:rPr>
          <w:sz w:val="18"/>
          <w:szCs w:val="18"/>
          <w:lang w:val="en-US"/>
        </w:rPr>
      </w:pPr>
    </w:p>
    <w:p w14:paraId="658EF85A" w14:textId="51FA73CC" w:rsidR="006647E2" w:rsidRDefault="006F72D9" w:rsidP="006F72D9">
      <w:pPr>
        <w:pStyle w:val="Acknowledgement"/>
      </w:pPr>
      <w:r w:rsidRPr="006F72D9">
        <w:t>This work was co-funded by the European Union and the Czech Ministry of Education, Youth and Sports (Project TERAFIT, CZ.02.01.01/00/22_008/0004594).</w:t>
      </w:r>
    </w:p>
    <w:sectPr w:rsidR="006647E2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1C49C" w14:textId="77777777" w:rsidR="004D792F" w:rsidRDefault="004D792F">
      <w:pPr>
        <w:spacing w:after="0"/>
      </w:pPr>
      <w:r>
        <w:separator/>
      </w:r>
    </w:p>
  </w:endnote>
  <w:endnote w:type="continuationSeparator" w:id="0">
    <w:p w14:paraId="30182F36" w14:textId="77777777" w:rsidR="004D792F" w:rsidRDefault="004D79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dvt93-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791CE" w14:textId="77777777" w:rsidR="006647E2" w:rsidRDefault="00000000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26E15950" w14:textId="77777777" w:rsidR="006647E2" w:rsidRDefault="006647E2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3B123" w14:textId="77777777" w:rsidR="004D792F" w:rsidRDefault="004D792F">
      <w:pPr>
        <w:spacing w:after="0"/>
      </w:pPr>
      <w:r>
        <w:separator/>
      </w:r>
    </w:p>
  </w:footnote>
  <w:footnote w:type="continuationSeparator" w:id="0">
    <w:p w14:paraId="49DBE333" w14:textId="77777777" w:rsidR="004D792F" w:rsidRDefault="004D79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135E0" w14:textId="77777777" w:rsidR="006647E2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E2"/>
    <w:rsid w:val="002749ED"/>
    <w:rsid w:val="00345207"/>
    <w:rsid w:val="00367500"/>
    <w:rsid w:val="00381AA5"/>
    <w:rsid w:val="003B29BF"/>
    <w:rsid w:val="004228A9"/>
    <w:rsid w:val="004D792F"/>
    <w:rsid w:val="006647E2"/>
    <w:rsid w:val="006F72D9"/>
    <w:rsid w:val="00790EF7"/>
    <w:rsid w:val="00837D4F"/>
    <w:rsid w:val="0096471B"/>
    <w:rsid w:val="00A21BB7"/>
    <w:rsid w:val="00B577DE"/>
    <w:rsid w:val="00C152C5"/>
    <w:rsid w:val="00E7245F"/>
    <w:rsid w:val="00E9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61C21"/>
  <w15:docId w15:val="{0C71F478-A0F2-4BFB-9060-E229656E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Margarida Isabel Sousa Henriques</cp:lastModifiedBy>
  <cp:revision>6</cp:revision>
  <dcterms:created xsi:type="dcterms:W3CDTF">2025-05-09T23:58:00Z</dcterms:created>
  <dcterms:modified xsi:type="dcterms:W3CDTF">2025-05-19T11:41:00Z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